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5F8E2E9" w14:textId="77777777" w:rsidR="00384419" w:rsidRDefault="009D79D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rPr>
      </w:pPr>
      <w:bookmarkStart w:id="0" w:name="AppendixG"/>
      <w:bookmarkEnd w:id="0"/>
      <w:r>
        <w:rPr>
          <w:rFonts w:eastAsia="PMingLiU"/>
          <w:b/>
        </w:rPr>
        <w:t xml:space="preserve"> </w:t>
      </w:r>
    </w:p>
    <w:p w14:paraId="3825C04A" w14:textId="77777777" w:rsidR="00384419" w:rsidRDefault="00384419">
      <w:pPr>
        <w:tabs>
          <w:tab w:val="left" w:pos="3870"/>
          <w:tab w:val="center" w:pos="4680"/>
        </w:tabs>
        <w:jc w:val="center"/>
        <w:rPr>
          <w:b/>
          <w:bCs/>
          <w:iCs/>
          <w:sz w:val="32"/>
          <w:szCs w:val="32"/>
        </w:rPr>
      </w:pPr>
    </w:p>
    <w:p w14:paraId="327D164C" w14:textId="77FAFCC4" w:rsidR="00384419" w:rsidRPr="00DE11D1" w:rsidRDefault="00C510E1" w:rsidP="00DE11D1">
      <w:pPr>
        <w:tabs>
          <w:tab w:val="left" w:pos="3870"/>
          <w:tab w:val="center" w:pos="4680"/>
        </w:tabs>
        <w:jc w:val="center"/>
        <w:rPr>
          <w:rFonts w:asciiTheme="minorHAnsi" w:hAnsiTheme="minorHAnsi" w:cstheme="minorHAnsi"/>
          <w:b/>
          <w:bCs/>
          <w:sz w:val="28"/>
          <w:szCs w:val="28"/>
        </w:rPr>
      </w:pPr>
      <w:r w:rsidRPr="00DE11D1">
        <w:rPr>
          <w:rFonts w:asciiTheme="minorHAnsi" w:hAnsiTheme="minorHAnsi" w:cstheme="minorHAnsi"/>
          <w:b/>
          <w:bCs/>
          <w:iCs/>
          <w:sz w:val="28"/>
          <w:szCs w:val="28"/>
        </w:rPr>
        <w:t>FY 2023</w:t>
      </w:r>
      <w:r w:rsidR="009D79D6" w:rsidRPr="00DE11D1">
        <w:rPr>
          <w:rFonts w:asciiTheme="minorHAnsi" w:hAnsiTheme="minorHAnsi" w:cstheme="minorHAnsi"/>
          <w:b/>
          <w:bCs/>
          <w:iCs/>
          <w:sz w:val="28"/>
          <w:szCs w:val="28"/>
        </w:rPr>
        <w:t xml:space="preserve"> Comprehensive</w:t>
      </w:r>
      <w:r w:rsidR="00DE11D1">
        <w:rPr>
          <w:rFonts w:asciiTheme="minorHAnsi" w:hAnsiTheme="minorHAnsi" w:cstheme="minorHAnsi"/>
          <w:b/>
          <w:bCs/>
          <w:iCs/>
          <w:sz w:val="28"/>
          <w:szCs w:val="28"/>
        </w:rPr>
        <w:t xml:space="preserve"> </w:t>
      </w:r>
      <w:r w:rsidR="009D79D6" w:rsidRPr="00DE11D1">
        <w:rPr>
          <w:rFonts w:asciiTheme="minorHAnsi" w:hAnsiTheme="minorHAnsi" w:cstheme="minorHAnsi"/>
          <w:b/>
          <w:bCs/>
          <w:sz w:val="28"/>
          <w:szCs w:val="28"/>
        </w:rPr>
        <w:t>Federal Annual Monitoring Evaluation (FAME) Report</w:t>
      </w:r>
    </w:p>
    <w:p w14:paraId="03CD3250" w14:textId="77777777" w:rsidR="00384419" w:rsidRPr="00DE11D1" w:rsidRDefault="00384419">
      <w:pPr>
        <w:jc w:val="center"/>
        <w:rPr>
          <w:rFonts w:asciiTheme="minorHAnsi" w:hAnsiTheme="minorHAnsi" w:cstheme="minorHAnsi"/>
        </w:rPr>
      </w:pPr>
    </w:p>
    <w:p w14:paraId="720FCC39" w14:textId="77777777" w:rsidR="00384419" w:rsidRPr="00DE11D1" w:rsidRDefault="00384419">
      <w:pPr>
        <w:jc w:val="center"/>
        <w:rPr>
          <w:rFonts w:asciiTheme="minorHAnsi" w:hAnsiTheme="minorHAnsi" w:cstheme="minorHAnsi"/>
        </w:rPr>
      </w:pPr>
    </w:p>
    <w:p w14:paraId="5229E2A6" w14:textId="77777777" w:rsidR="00DE11D1" w:rsidRPr="00DE11D1" w:rsidRDefault="00DE11D1" w:rsidP="00DE11D1">
      <w:pPr>
        <w:tabs>
          <w:tab w:val="center" w:pos="4680"/>
        </w:tabs>
        <w:jc w:val="center"/>
        <w:rPr>
          <w:rFonts w:asciiTheme="minorHAnsi" w:hAnsiTheme="minorHAnsi" w:cstheme="minorHAnsi"/>
          <w:b/>
          <w:bCs/>
        </w:rPr>
      </w:pPr>
      <w:r w:rsidRPr="00DE11D1">
        <w:rPr>
          <w:rFonts w:asciiTheme="minorHAnsi" w:hAnsiTheme="minorHAnsi" w:cstheme="minorHAnsi"/>
          <w:b/>
          <w:bCs/>
        </w:rPr>
        <w:t>NORTH CAROLINA DEPARTMENT OF LABOR OCCUPATIONAL SAFETY AND HEALTH DIVISION</w:t>
      </w:r>
    </w:p>
    <w:p w14:paraId="631AAA81" w14:textId="77777777" w:rsidR="00384419" w:rsidRPr="00DE11D1" w:rsidRDefault="00384419">
      <w:pPr>
        <w:jc w:val="center"/>
        <w:rPr>
          <w:rFonts w:asciiTheme="minorHAnsi" w:hAnsiTheme="minorHAnsi" w:cstheme="minorHAnsi"/>
          <w:b/>
        </w:rPr>
      </w:pPr>
    </w:p>
    <w:p w14:paraId="22B8F9C7" w14:textId="77777777" w:rsidR="00384419" w:rsidRPr="00DE11D1" w:rsidRDefault="00384419">
      <w:pPr>
        <w:jc w:val="center"/>
        <w:rPr>
          <w:rFonts w:asciiTheme="minorHAnsi" w:hAnsiTheme="minorHAnsi" w:cstheme="minorHAnsi"/>
          <w:bCs/>
        </w:rPr>
      </w:pPr>
    </w:p>
    <w:p w14:paraId="2D5303D6" w14:textId="77777777" w:rsidR="00384419" w:rsidRPr="00DE11D1" w:rsidRDefault="00384419">
      <w:pPr>
        <w:jc w:val="center"/>
        <w:rPr>
          <w:rFonts w:asciiTheme="minorHAnsi" w:hAnsiTheme="minorHAnsi" w:cstheme="minorHAnsi"/>
          <w:bCs/>
        </w:rPr>
      </w:pPr>
    </w:p>
    <w:p w14:paraId="64C6F997" w14:textId="77777777" w:rsidR="00384419" w:rsidRPr="00DE11D1" w:rsidRDefault="009D79D6">
      <w:pPr>
        <w:jc w:val="center"/>
        <w:rPr>
          <w:rFonts w:asciiTheme="minorHAnsi" w:hAnsiTheme="minorHAnsi" w:cstheme="minorHAnsi"/>
          <w:bCs/>
        </w:rPr>
      </w:pPr>
      <w:r w:rsidRPr="00DE11D1">
        <w:rPr>
          <w:rFonts w:asciiTheme="minorHAnsi" w:hAnsiTheme="minorHAnsi" w:cstheme="minorHAnsi"/>
          <w:noProof/>
        </w:rPr>
        <w:drawing>
          <wp:inline distT="0" distB="0" distL="0" distR="0" wp14:anchorId="66600E4D" wp14:editId="0E1190BE">
            <wp:extent cx="3533775" cy="1553210"/>
            <wp:effectExtent l="0" t="0" r="9525" b="8890"/>
            <wp:docPr id="2" name="Picture 2" descr="ncdol_logo"/>
            <wp:cNvGraphicFramePr/>
            <a:graphic xmlns:a="http://schemas.openxmlformats.org/drawingml/2006/main">
              <a:graphicData uri="http://schemas.openxmlformats.org/drawingml/2006/picture">
                <pic:pic xmlns:pic="http://schemas.openxmlformats.org/drawingml/2006/picture">
                  <pic:nvPicPr>
                    <pic:cNvPr id="3" name="Picture 3" descr="ncdol_logo"/>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3775" cy="1553210"/>
                    </a:xfrm>
                    <a:prstGeom prst="rect">
                      <a:avLst/>
                    </a:prstGeom>
                    <a:noFill/>
                    <a:ln>
                      <a:noFill/>
                    </a:ln>
                  </pic:spPr>
                </pic:pic>
              </a:graphicData>
            </a:graphic>
          </wp:inline>
        </w:drawing>
      </w:r>
    </w:p>
    <w:p w14:paraId="4061EF52" w14:textId="77777777" w:rsidR="00384419" w:rsidRPr="00DE11D1" w:rsidRDefault="00384419">
      <w:pPr>
        <w:jc w:val="center"/>
        <w:rPr>
          <w:rFonts w:asciiTheme="minorHAnsi" w:hAnsiTheme="minorHAnsi" w:cstheme="minorHAnsi"/>
          <w:b/>
        </w:rPr>
      </w:pPr>
    </w:p>
    <w:p w14:paraId="0826F1FC" w14:textId="22E17B27" w:rsidR="00384419" w:rsidRPr="00DE11D1" w:rsidRDefault="009D79D6">
      <w:pPr>
        <w:tabs>
          <w:tab w:val="left" w:pos="720"/>
          <w:tab w:val="left" w:pos="1440"/>
          <w:tab w:val="left" w:pos="2160"/>
        </w:tabs>
        <w:jc w:val="center"/>
        <w:rPr>
          <w:rFonts w:asciiTheme="minorHAnsi" w:eastAsia="Batang" w:hAnsiTheme="minorHAnsi" w:cstheme="minorHAnsi"/>
          <w:b/>
          <w:sz w:val="28"/>
          <w:szCs w:val="28"/>
        </w:rPr>
      </w:pPr>
      <w:r w:rsidRPr="00DE11D1">
        <w:rPr>
          <w:rFonts w:asciiTheme="minorHAnsi" w:eastAsia="Batang" w:hAnsiTheme="minorHAnsi" w:cstheme="minorHAnsi"/>
          <w:b/>
          <w:sz w:val="28"/>
          <w:szCs w:val="28"/>
        </w:rPr>
        <w:t xml:space="preserve">Evaluation Period: </w:t>
      </w:r>
      <w:r w:rsidR="00C510E1" w:rsidRPr="00DE11D1">
        <w:rPr>
          <w:rFonts w:asciiTheme="minorHAnsi" w:eastAsia="Batang" w:hAnsiTheme="minorHAnsi" w:cstheme="minorHAnsi"/>
          <w:b/>
          <w:sz w:val="28"/>
          <w:szCs w:val="28"/>
        </w:rPr>
        <w:t>October 1, 2022</w:t>
      </w:r>
      <w:r w:rsidRPr="00DE11D1">
        <w:rPr>
          <w:rFonts w:asciiTheme="minorHAnsi" w:eastAsia="Batang" w:hAnsiTheme="minorHAnsi" w:cstheme="minorHAnsi"/>
          <w:b/>
          <w:sz w:val="28"/>
          <w:szCs w:val="28"/>
        </w:rPr>
        <w:t xml:space="preserve"> – September 30, 202</w:t>
      </w:r>
      <w:r w:rsidR="00C510E1" w:rsidRPr="00DE11D1">
        <w:rPr>
          <w:rFonts w:asciiTheme="minorHAnsi" w:eastAsia="Batang" w:hAnsiTheme="minorHAnsi" w:cstheme="minorHAnsi"/>
          <w:b/>
          <w:sz w:val="28"/>
          <w:szCs w:val="28"/>
        </w:rPr>
        <w:t>3</w:t>
      </w:r>
    </w:p>
    <w:p w14:paraId="591E182D" w14:textId="77777777" w:rsidR="00384419" w:rsidRPr="00DE11D1" w:rsidRDefault="00384419">
      <w:pPr>
        <w:jc w:val="center"/>
        <w:rPr>
          <w:rFonts w:asciiTheme="minorHAnsi" w:hAnsiTheme="minorHAnsi" w:cstheme="minorHAnsi"/>
        </w:rPr>
      </w:pPr>
    </w:p>
    <w:p w14:paraId="7292690F" w14:textId="77777777" w:rsidR="00384419" w:rsidRPr="00DE11D1" w:rsidRDefault="00384419">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p>
    <w:p w14:paraId="75D5682C" w14:textId="77777777" w:rsidR="00384419" w:rsidRPr="00DE11D1" w:rsidRDefault="00384419">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14:paraId="170A466A" w14:textId="77777777" w:rsidR="00384419" w:rsidRPr="00DE11D1" w:rsidRDefault="009D79D6">
      <w:pPr>
        <w:tabs>
          <w:tab w:val="center" w:pos="4680"/>
        </w:tabs>
        <w:jc w:val="center"/>
        <w:rPr>
          <w:rFonts w:asciiTheme="minorHAnsi" w:hAnsiTheme="minorHAnsi" w:cstheme="minorHAnsi"/>
          <w:b/>
          <w:bCs/>
        </w:rPr>
      </w:pPr>
      <w:r w:rsidRPr="00DE11D1">
        <w:rPr>
          <w:rFonts w:asciiTheme="minorHAnsi" w:eastAsia="Batang" w:hAnsiTheme="minorHAnsi" w:cstheme="minorHAnsi"/>
          <w:b/>
        </w:rPr>
        <w:t>Initial Approval Date:  January 26, 1973</w:t>
      </w:r>
    </w:p>
    <w:p w14:paraId="003C0FAD" w14:textId="77777777" w:rsidR="00384419" w:rsidRPr="00DE11D1" w:rsidRDefault="009D79D6">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bCs/>
        </w:rPr>
      </w:pPr>
      <w:r w:rsidRPr="00DE11D1">
        <w:rPr>
          <w:rFonts w:asciiTheme="minorHAnsi" w:eastAsia="Batang" w:hAnsiTheme="minorHAnsi" w:cstheme="minorHAnsi"/>
          <w:b/>
        </w:rPr>
        <w:t xml:space="preserve"> Program Certification Date:  October 5, 1976</w:t>
      </w:r>
    </w:p>
    <w:p w14:paraId="1B32180C" w14:textId="77777777" w:rsidR="00384419" w:rsidRPr="00DE11D1" w:rsidRDefault="009D79D6">
      <w:pPr>
        <w:tabs>
          <w:tab w:val="center" w:pos="4680"/>
        </w:tabs>
        <w:jc w:val="center"/>
        <w:rPr>
          <w:rFonts w:asciiTheme="minorHAnsi" w:hAnsiTheme="minorHAnsi" w:cstheme="minorHAnsi"/>
          <w:b/>
          <w:bCs/>
        </w:rPr>
      </w:pPr>
      <w:r w:rsidRPr="00DE11D1">
        <w:rPr>
          <w:rFonts w:asciiTheme="minorHAnsi" w:eastAsia="Batang" w:hAnsiTheme="minorHAnsi" w:cstheme="minorHAnsi"/>
          <w:b/>
        </w:rPr>
        <w:t xml:space="preserve">Final Approval Date:  </w:t>
      </w:r>
      <w:r w:rsidRPr="00DE11D1">
        <w:rPr>
          <w:rFonts w:asciiTheme="minorHAnsi" w:hAnsiTheme="minorHAnsi" w:cstheme="minorHAnsi"/>
          <w:b/>
          <w:bCs/>
        </w:rPr>
        <w:t>December 10, 1996</w:t>
      </w:r>
    </w:p>
    <w:p w14:paraId="6BD140AD" w14:textId="77777777" w:rsidR="00384419" w:rsidRDefault="00384419">
      <w:pPr>
        <w:jc w:val="center"/>
        <w:rPr>
          <w:b/>
          <w:bCs/>
        </w:rPr>
      </w:pPr>
    </w:p>
    <w:p w14:paraId="55AB1D8A" w14:textId="77777777" w:rsidR="00384419" w:rsidRDefault="00384419">
      <w:pPr>
        <w:spacing w:line="19" w:lineRule="exact"/>
        <w:jc w:val="center"/>
      </w:pPr>
    </w:p>
    <w:p w14:paraId="2099182B" w14:textId="77777777" w:rsidR="00384419" w:rsidRDefault="00384419">
      <w:pPr>
        <w:tabs>
          <w:tab w:val="right" w:pos="9720"/>
        </w:tabs>
        <w:jc w:val="center"/>
        <w:rPr>
          <w:b/>
          <w:bCs/>
        </w:rPr>
      </w:pPr>
    </w:p>
    <w:p w14:paraId="2C40E5B7" w14:textId="77777777" w:rsidR="00384419" w:rsidRDefault="00384419">
      <w:pPr>
        <w:jc w:val="center"/>
        <w:rPr>
          <w:i/>
        </w:rPr>
      </w:pPr>
    </w:p>
    <w:p w14:paraId="50B96AE1" w14:textId="77777777" w:rsidR="00384419" w:rsidRPr="00DE11D1" w:rsidRDefault="009D79D6">
      <w:pPr>
        <w:jc w:val="center"/>
        <w:rPr>
          <w:rFonts w:asciiTheme="minorHAnsi" w:hAnsiTheme="minorHAnsi" w:cstheme="minorHAnsi"/>
          <w:b/>
        </w:rPr>
      </w:pPr>
      <w:r w:rsidRPr="00DE11D1">
        <w:rPr>
          <w:rFonts w:asciiTheme="minorHAnsi" w:hAnsiTheme="minorHAnsi" w:cstheme="minorHAnsi"/>
          <w:b/>
        </w:rPr>
        <w:t>Prepared by:</w:t>
      </w:r>
    </w:p>
    <w:p w14:paraId="74462BED" w14:textId="77777777" w:rsidR="00384419" w:rsidRPr="00DE11D1" w:rsidRDefault="009D79D6">
      <w:pPr>
        <w:jc w:val="center"/>
        <w:rPr>
          <w:rFonts w:asciiTheme="minorHAnsi" w:hAnsiTheme="minorHAnsi" w:cstheme="minorHAnsi"/>
          <w:b/>
        </w:rPr>
      </w:pPr>
      <w:r w:rsidRPr="00DE11D1">
        <w:rPr>
          <w:rFonts w:asciiTheme="minorHAnsi" w:hAnsiTheme="minorHAnsi" w:cstheme="minorHAnsi"/>
          <w:b/>
        </w:rPr>
        <w:t xml:space="preserve">U. S. Department of Labor </w:t>
      </w:r>
    </w:p>
    <w:p w14:paraId="43101C68" w14:textId="77777777" w:rsidR="00384419" w:rsidRPr="00DE11D1" w:rsidRDefault="009D79D6">
      <w:pPr>
        <w:jc w:val="center"/>
        <w:rPr>
          <w:rFonts w:asciiTheme="minorHAnsi" w:hAnsiTheme="minorHAnsi" w:cstheme="minorHAnsi"/>
          <w:b/>
        </w:rPr>
      </w:pPr>
      <w:r w:rsidRPr="00DE11D1">
        <w:rPr>
          <w:rFonts w:asciiTheme="minorHAnsi" w:hAnsiTheme="minorHAnsi" w:cstheme="minorHAnsi"/>
          <w:b/>
        </w:rPr>
        <w:t>Occupational Safety and Health Administration</w:t>
      </w:r>
    </w:p>
    <w:p w14:paraId="5C1E9E9E" w14:textId="77777777" w:rsidR="00384419" w:rsidRPr="00DE11D1" w:rsidRDefault="009D79D6">
      <w:pPr>
        <w:jc w:val="center"/>
        <w:rPr>
          <w:rFonts w:asciiTheme="minorHAnsi" w:hAnsiTheme="minorHAnsi" w:cstheme="minorHAnsi"/>
          <w:b/>
        </w:rPr>
      </w:pPr>
      <w:r w:rsidRPr="00DE11D1">
        <w:rPr>
          <w:rFonts w:asciiTheme="minorHAnsi" w:hAnsiTheme="minorHAnsi" w:cstheme="minorHAnsi"/>
          <w:b/>
        </w:rPr>
        <w:t>Region IV</w:t>
      </w:r>
    </w:p>
    <w:p w14:paraId="1DB7EF43" w14:textId="77777777" w:rsidR="00384419" w:rsidRPr="00DE11D1" w:rsidRDefault="009D79D6">
      <w:pPr>
        <w:ind w:left="360"/>
        <w:jc w:val="center"/>
        <w:rPr>
          <w:rFonts w:asciiTheme="minorHAnsi" w:hAnsiTheme="minorHAnsi" w:cstheme="minorHAnsi"/>
        </w:rPr>
      </w:pPr>
      <w:r w:rsidRPr="00DE11D1">
        <w:rPr>
          <w:rFonts w:asciiTheme="minorHAnsi" w:hAnsiTheme="minorHAnsi" w:cstheme="minorHAnsi"/>
          <w:b/>
        </w:rPr>
        <w:t>Atlanta, Georgia</w:t>
      </w:r>
    </w:p>
    <w:p w14:paraId="3462AB57" w14:textId="77777777" w:rsidR="00384419" w:rsidRDefault="00384419">
      <w:pPr>
        <w:jc w:val="center"/>
        <w:rPr>
          <w:b/>
        </w:rPr>
      </w:pPr>
    </w:p>
    <w:p w14:paraId="485405D1" w14:textId="77777777" w:rsidR="00384419" w:rsidRDefault="00384419">
      <w:pPr>
        <w:ind w:left="360"/>
      </w:pPr>
    </w:p>
    <w:p w14:paraId="5A6FFB44" w14:textId="77777777" w:rsidR="00384419" w:rsidRDefault="00384419">
      <w:pPr>
        <w:ind w:left="360"/>
      </w:pPr>
    </w:p>
    <w:p w14:paraId="15073F77" w14:textId="77777777" w:rsidR="00384419" w:rsidRDefault="009D79D6">
      <w:pPr>
        <w:ind w:left="360"/>
        <w:jc w:val="center"/>
      </w:pPr>
      <w:r>
        <w:rPr>
          <w:rFonts w:ascii="Arial" w:hAnsi="Arial" w:cs="Arial"/>
          <w:noProof/>
        </w:rPr>
        <w:drawing>
          <wp:inline distT="0" distB="0" distL="0" distR="0" wp14:anchorId="52EA8AA9" wp14:editId="0AD653BC">
            <wp:extent cx="1581150" cy="1009650"/>
            <wp:effectExtent l="0" t="0" r="0" b="0"/>
            <wp:docPr id="3" name="Picture 3" descr="center_co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ter_col_s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1009650"/>
                    </a:xfrm>
                    <a:prstGeom prst="rect">
                      <a:avLst/>
                    </a:prstGeom>
                    <a:noFill/>
                    <a:ln>
                      <a:noFill/>
                    </a:ln>
                  </pic:spPr>
                </pic:pic>
              </a:graphicData>
            </a:graphic>
          </wp:inline>
        </w:drawing>
      </w:r>
    </w:p>
    <w:p w14:paraId="521A70F3" w14:textId="77777777" w:rsidR="00384419" w:rsidRDefault="00384419">
      <w:pPr>
        <w:tabs>
          <w:tab w:val="left" w:pos="1125"/>
        </w:tabs>
        <w:rPr>
          <w:i/>
          <w:sz w:val="20"/>
          <w:szCs w:val="20"/>
        </w:rPr>
      </w:pPr>
    </w:p>
    <w:p w14:paraId="5B6C075F" w14:textId="77777777" w:rsidR="00384419" w:rsidRDefault="00384419">
      <w:pPr>
        <w:tabs>
          <w:tab w:val="left" w:pos="1125"/>
        </w:tabs>
        <w:rPr>
          <w:i/>
          <w:sz w:val="20"/>
          <w:szCs w:val="20"/>
        </w:rPr>
      </w:pPr>
    </w:p>
    <w:p w14:paraId="3DE3AC54" w14:textId="77777777" w:rsidR="00384419" w:rsidRDefault="009D79D6">
      <w:pPr>
        <w:keepNext/>
        <w:keepLines/>
        <w:widowControl/>
        <w:autoSpaceDE/>
        <w:autoSpaceDN/>
        <w:adjustRightInd/>
        <w:spacing w:before="480"/>
        <w:jc w:val="center"/>
        <w:rPr>
          <w:b/>
          <w:bCs/>
          <w:color w:val="4F81BD" w:themeColor="accent1"/>
          <w:sz w:val="32"/>
          <w:szCs w:val="32"/>
          <w:lang w:eastAsia="ja-JP"/>
        </w:rPr>
      </w:pPr>
      <w:r>
        <w:rPr>
          <w:b/>
          <w:bCs/>
          <w:color w:val="4F81BD" w:themeColor="accent1"/>
          <w:sz w:val="32"/>
          <w:szCs w:val="32"/>
          <w:lang w:eastAsia="ja-JP"/>
        </w:rPr>
        <w:lastRenderedPageBreak/>
        <w:t>Contents</w:t>
      </w:r>
    </w:p>
    <w:p w14:paraId="6256F44C" w14:textId="77777777" w:rsidR="00384419" w:rsidRDefault="00384419">
      <w:pPr>
        <w:rPr>
          <w:bCs/>
          <w:color w:val="0070C0"/>
          <w:sz w:val="32"/>
          <w:szCs w:val="32"/>
        </w:rPr>
      </w:pPr>
    </w:p>
    <w:p w14:paraId="3CE6E306" w14:textId="77777777" w:rsidR="00384419" w:rsidRDefault="00384419">
      <w:pPr>
        <w:rPr>
          <w:bCs/>
          <w:color w:val="0070C0"/>
          <w:sz w:val="32"/>
          <w:szCs w:val="32"/>
        </w:rPr>
      </w:pPr>
    </w:p>
    <w:p w14:paraId="00A027BD" w14:textId="77777777" w:rsidR="00384419" w:rsidRDefault="009D79D6">
      <w:pPr>
        <w:pStyle w:val="TOC1"/>
        <w:tabs>
          <w:tab w:val="left" w:pos="480"/>
          <w:tab w:val="right" w:leader="dot" w:pos="9350"/>
        </w:tabs>
        <w:rPr>
          <w:rFonts w:ascii="Times New Roman" w:eastAsiaTheme="minorEastAsia" w:hAnsi="Times New Roman" w:cs="Times New Roman"/>
          <w:noProof/>
          <w:sz w:val="24"/>
          <w:szCs w:val="24"/>
        </w:rPr>
      </w:pPr>
      <w:r>
        <w:rPr>
          <w:rFonts w:ascii="Times New Roman" w:hAnsi="Times New Roman" w:cs="Times New Roman"/>
          <w:i/>
        </w:rPr>
        <w:fldChar w:fldCharType="begin"/>
      </w:r>
      <w:r>
        <w:rPr>
          <w:rFonts w:ascii="Times New Roman" w:hAnsi="Times New Roman" w:cs="Times New Roman"/>
          <w:i/>
        </w:rPr>
        <w:instrText xml:space="preserve"> TOC \h \z \t "FAME Section TOC,1,FAME Sub Section TOC,2,FAME Sub Level 3,3" </w:instrText>
      </w:r>
      <w:r>
        <w:rPr>
          <w:rFonts w:ascii="Times New Roman" w:hAnsi="Times New Roman" w:cs="Times New Roman"/>
          <w:i/>
        </w:rPr>
        <w:fldChar w:fldCharType="separate"/>
      </w:r>
      <w:hyperlink r:id="rId9" w:anchor="_Toc30092929" w:history="1">
        <w:r>
          <w:rPr>
            <w:rStyle w:val="Hyperlink"/>
            <w:rFonts w:ascii="Times New Roman" w:hAnsi="Times New Roman"/>
            <w:noProof/>
            <w:sz w:val="24"/>
            <w:szCs w:val="24"/>
          </w:rPr>
          <w:t>I.</w:t>
        </w:r>
        <w:r>
          <w:rPr>
            <w:rStyle w:val="Hyperlink"/>
            <w:rFonts w:ascii="Times New Roman" w:eastAsiaTheme="minorEastAsia" w:hAnsi="Times New Roman"/>
            <w:noProof/>
            <w:color w:val="auto"/>
            <w:sz w:val="24"/>
            <w:szCs w:val="24"/>
          </w:rPr>
          <w:tab/>
        </w:r>
        <w:r>
          <w:rPr>
            <w:rStyle w:val="Hyperlink"/>
            <w:rFonts w:ascii="Times New Roman" w:hAnsi="Times New Roman"/>
            <w:noProof/>
            <w:sz w:val="24"/>
            <w:szCs w:val="24"/>
          </w:rPr>
          <w:t>Executive Summary</w:t>
        </w:r>
        <w:r>
          <w:rPr>
            <w:rStyle w:val="Hyperlink"/>
            <w:rFonts w:ascii="Times New Roman" w:hAnsi="Times New Roman"/>
            <w:noProof/>
            <w:webHidden/>
            <w:color w:val="auto"/>
            <w:sz w:val="24"/>
            <w:szCs w:val="24"/>
          </w:rPr>
          <w:tab/>
        </w:r>
        <w:r>
          <w:rPr>
            <w:rStyle w:val="Hyperlink"/>
            <w:rFonts w:ascii="Times New Roman" w:hAnsi="Times New Roman"/>
            <w:noProof/>
            <w:webHidden/>
            <w:color w:val="auto"/>
            <w:sz w:val="24"/>
            <w:szCs w:val="24"/>
          </w:rPr>
          <w:fldChar w:fldCharType="begin"/>
        </w:r>
        <w:r>
          <w:rPr>
            <w:rStyle w:val="Hyperlink"/>
            <w:rFonts w:ascii="Times New Roman" w:hAnsi="Times New Roman"/>
            <w:noProof/>
            <w:webHidden/>
            <w:color w:val="auto"/>
            <w:sz w:val="24"/>
            <w:szCs w:val="24"/>
          </w:rPr>
          <w:instrText xml:space="preserve"> PAGEREF _Toc30092929 \h </w:instrText>
        </w:r>
        <w:r>
          <w:rPr>
            <w:rStyle w:val="Hyperlink"/>
            <w:rFonts w:ascii="Times New Roman" w:hAnsi="Times New Roman"/>
            <w:noProof/>
            <w:webHidden/>
            <w:color w:val="auto"/>
            <w:sz w:val="24"/>
            <w:szCs w:val="24"/>
          </w:rPr>
        </w:r>
        <w:r>
          <w:rPr>
            <w:rStyle w:val="Hyperlink"/>
            <w:rFonts w:ascii="Times New Roman" w:hAnsi="Times New Roman"/>
            <w:noProof/>
            <w:webHidden/>
            <w:color w:val="auto"/>
            <w:sz w:val="24"/>
            <w:szCs w:val="24"/>
          </w:rPr>
          <w:fldChar w:fldCharType="separate"/>
        </w:r>
        <w:r>
          <w:rPr>
            <w:rStyle w:val="Hyperlink"/>
            <w:rFonts w:ascii="Times New Roman" w:hAnsi="Times New Roman"/>
            <w:noProof/>
            <w:webHidden/>
            <w:color w:val="auto"/>
            <w:sz w:val="24"/>
            <w:szCs w:val="24"/>
          </w:rPr>
          <w:t>3</w:t>
        </w:r>
        <w:r>
          <w:rPr>
            <w:rStyle w:val="Hyperlink"/>
            <w:rFonts w:ascii="Times New Roman" w:hAnsi="Times New Roman"/>
            <w:noProof/>
            <w:webHidden/>
            <w:color w:val="auto"/>
            <w:sz w:val="24"/>
            <w:szCs w:val="24"/>
          </w:rPr>
          <w:fldChar w:fldCharType="end"/>
        </w:r>
      </w:hyperlink>
    </w:p>
    <w:p w14:paraId="1B2126E0" w14:textId="77777777" w:rsidR="00384419" w:rsidRDefault="00000000">
      <w:pPr>
        <w:pStyle w:val="TOC1"/>
        <w:tabs>
          <w:tab w:val="left" w:pos="480"/>
          <w:tab w:val="right" w:leader="dot" w:pos="9350"/>
        </w:tabs>
        <w:rPr>
          <w:rFonts w:ascii="Times New Roman" w:eastAsiaTheme="minorEastAsia" w:hAnsi="Times New Roman" w:cs="Times New Roman"/>
          <w:noProof/>
          <w:sz w:val="24"/>
          <w:szCs w:val="24"/>
        </w:rPr>
      </w:pPr>
      <w:hyperlink r:id="rId10" w:anchor="_Toc30092930" w:history="1">
        <w:r w:rsidR="009D79D6">
          <w:rPr>
            <w:rStyle w:val="Hyperlink"/>
            <w:rFonts w:ascii="Times New Roman" w:hAnsi="Times New Roman"/>
            <w:noProof/>
            <w:sz w:val="24"/>
            <w:szCs w:val="24"/>
          </w:rPr>
          <w:t>II.</w:t>
        </w:r>
        <w:r w:rsidR="009D79D6">
          <w:rPr>
            <w:rStyle w:val="Hyperlink"/>
            <w:rFonts w:ascii="Times New Roman" w:eastAsiaTheme="minorEastAsia" w:hAnsi="Times New Roman"/>
            <w:noProof/>
            <w:color w:val="auto"/>
            <w:sz w:val="24"/>
            <w:szCs w:val="24"/>
          </w:rPr>
          <w:tab/>
        </w:r>
        <w:r w:rsidR="009D79D6">
          <w:rPr>
            <w:rStyle w:val="Hyperlink"/>
            <w:rFonts w:ascii="Times New Roman" w:hAnsi="Times New Roman"/>
            <w:noProof/>
            <w:sz w:val="24"/>
            <w:szCs w:val="24"/>
          </w:rPr>
          <w:t>State Plan Background</w:t>
        </w:r>
        <w:r w:rsidR="009D79D6">
          <w:rPr>
            <w:rStyle w:val="Hyperlink"/>
            <w:rFonts w:ascii="Times New Roman" w:hAnsi="Times New Roman"/>
            <w:noProof/>
            <w:webHidden/>
            <w:color w:val="auto"/>
            <w:sz w:val="24"/>
            <w:szCs w:val="24"/>
          </w:rPr>
          <w:tab/>
        </w:r>
      </w:hyperlink>
      <w:r w:rsidR="009D79D6">
        <w:rPr>
          <w:rFonts w:ascii="Times New Roman" w:hAnsi="Times New Roman" w:cs="Times New Roman"/>
          <w:noProof/>
          <w:sz w:val="24"/>
          <w:szCs w:val="24"/>
        </w:rPr>
        <w:t>4</w:t>
      </w:r>
    </w:p>
    <w:p w14:paraId="61DD0F1B" w14:textId="77777777" w:rsidR="00384419" w:rsidRDefault="00000000">
      <w:pPr>
        <w:pStyle w:val="TOC2"/>
        <w:tabs>
          <w:tab w:val="left" w:pos="720"/>
          <w:tab w:val="right" w:leader="dot" w:pos="9350"/>
        </w:tabs>
        <w:rPr>
          <w:rFonts w:ascii="Times New Roman" w:eastAsiaTheme="minorEastAsia" w:hAnsi="Times New Roman" w:cs="Times New Roman"/>
          <w:noProof/>
          <w:sz w:val="24"/>
          <w:szCs w:val="24"/>
        </w:rPr>
      </w:pPr>
      <w:hyperlink r:id="rId11" w:anchor="_Toc30092931" w:history="1">
        <w:r w:rsidR="009D79D6">
          <w:rPr>
            <w:rStyle w:val="Hyperlink"/>
            <w:rFonts w:ascii="Times New Roman" w:hAnsi="Times New Roman"/>
            <w:noProof/>
            <w:sz w:val="24"/>
            <w:szCs w:val="24"/>
          </w:rPr>
          <w:t>A.</w:t>
        </w:r>
        <w:r w:rsidR="009D79D6">
          <w:rPr>
            <w:rStyle w:val="Hyperlink"/>
            <w:rFonts w:ascii="Times New Roman" w:eastAsiaTheme="minorEastAsia" w:hAnsi="Times New Roman"/>
            <w:noProof/>
            <w:color w:val="auto"/>
            <w:sz w:val="24"/>
            <w:szCs w:val="24"/>
          </w:rPr>
          <w:tab/>
        </w:r>
        <w:r w:rsidR="009D79D6">
          <w:rPr>
            <w:rStyle w:val="Hyperlink"/>
            <w:rFonts w:ascii="Times New Roman" w:hAnsi="Times New Roman"/>
            <w:noProof/>
            <w:sz w:val="24"/>
            <w:szCs w:val="24"/>
          </w:rPr>
          <w:t>Background</w:t>
        </w:r>
        <w:r w:rsidR="009D79D6">
          <w:rPr>
            <w:rStyle w:val="Hyperlink"/>
            <w:rFonts w:ascii="Times New Roman" w:hAnsi="Times New Roman"/>
            <w:noProof/>
            <w:webHidden/>
            <w:color w:val="auto"/>
            <w:sz w:val="24"/>
            <w:szCs w:val="24"/>
          </w:rPr>
          <w:tab/>
        </w:r>
      </w:hyperlink>
      <w:r w:rsidR="009D79D6">
        <w:rPr>
          <w:rFonts w:ascii="Times New Roman" w:hAnsi="Times New Roman" w:cs="Times New Roman"/>
          <w:noProof/>
          <w:sz w:val="24"/>
          <w:szCs w:val="24"/>
        </w:rPr>
        <w:t>4</w:t>
      </w:r>
    </w:p>
    <w:p w14:paraId="789958D5" w14:textId="77777777" w:rsidR="00384419" w:rsidRDefault="00000000">
      <w:pPr>
        <w:pStyle w:val="TOC2"/>
        <w:tabs>
          <w:tab w:val="left" w:pos="720"/>
          <w:tab w:val="right" w:leader="dot" w:pos="9350"/>
        </w:tabs>
        <w:rPr>
          <w:rFonts w:ascii="Times New Roman" w:eastAsiaTheme="minorEastAsia" w:hAnsi="Times New Roman" w:cs="Times New Roman"/>
          <w:noProof/>
          <w:sz w:val="24"/>
          <w:szCs w:val="24"/>
        </w:rPr>
      </w:pPr>
      <w:hyperlink r:id="rId12" w:anchor="_Toc30092932" w:history="1">
        <w:r w:rsidR="009D79D6">
          <w:rPr>
            <w:rStyle w:val="Hyperlink"/>
            <w:rFonts w:ascii="Times New Roman" w:hAnsi="Times New Roman"/>
            <w:noProof/>
            <w:sz w:val="24"/>
            <w:szCs w:val="24"/>
          </w:rPr>
          <w:t>B.</w:t>
        </w:r>
        <w:r w:rsidR="009D79D6">
          <w:rPr>
            <w:rStyle w:val="Hyperlink"/>
            <w:rFonts w:ascii="Times New Roman" w:eastAsiaTheme="minorEastAsia" w:hAnsi="Times New Roman"/>
            <w:noProof/>
            <w:color w:val="auto"/>
            <w:sz w:val="24"/>
            <w:szCs w:val="24"/>
          </w:rPr>
          <w:tab/>
        </w:r>
        <w:r w:rsidR="009D79D6">
          <w:rPr>
            <w:rStyle w:val="Hyperlink"/>
            <w:rFonts w:ascii="Times New Roman" w:hAnsi="Times New Roman"/>
            <w:noProof/>
            <w:sz w:val="24"/>
            <w:szCs w:val="24"/>
          </w:rPr>
          <w:t>New Issues</w:t>
        </w:r>
        <w:r w:rsidR="009D79D6">
          <w:rPr>
            <w:rStyle w:val="Hyperlink"/>
            <w:rFonts w:ascii="Times New Roman" w:hAnsi="Times New Roman"/>
            <w:noProof/>
            <w:webHidden/>
            <w:color w:val="auto"/>
            <w:sz w:val="24"/>
            <w:szCs w:val="24"/>
          </w:rPr>
          <w:tab/>
          <w:t>5</w:t>
        </w:r>
      </w:hyperlink>
    </w:p>
    <w:p w14:paraId="2DF1D99E" w14:textId="77777777" w:rsidR="00384419" w:rsidRDefault="00000000">
      <w:pPr>
        <w:pStyle w:val="TOC1"/>
        <w:tabs>
          <w:tab w:val="left" w:pos="720"/>
          <w:tab w:val="right" w:leader="dot" w:pos="9350"/>
        </w:tabs>
        <w:rPr>
          <w:rFonts w:ascii="Times New Roman" w:eastAsiaTheme="minorEastAsia" w:hAnsi="Times New Roman" w:cs="Times New Roman"/>
          <w:noProof/>
          <w:sz w:val="24"/>
          <w:szCs w:val="24"/>
        </w:rPr>
      </w:pPr>
      <w:hyperlink r:id="rId13" w:anchor="_Toc30092933" w:history="1">
        <w:r w:rsidR="009D79D6">
          <w:rPr>
            <w:rStyle w:val="Hyperlink"/>
            <w:rFonts w:ascii="Times New Roman" w:hAnsi="Times New Roman"/>
            <w:noProof/>
            <w:sz w:val="24"/>
            <w:szCs w:val="24"/>
          </w:rPr>
          <w:t>III.</w:t>
        </w:r>
        <w:r w:rsidR="009D79D6">
          <w:rPr>
            <w:rStyle w:val="Hyperlink"/>
            <w:rFonts w:ascii="Times New Roman" w:eastAsiaTheme="minorEastAsia" w:hAnsi="Times New Roman"/>
            <w:noProof/>
            <w:color w:val="auto"/>
            <w:sz w:val="24"/>
            <w:szCs w:val="24"/>
          </w:rPr>
          <w:tab/>
        </w:r>
        <w:r w:rsidR="009D79D6">
          <w:rPr>
            <w:rStyle w:val="Hyperlink"/>
            <w:rFonts w:ascii="Times New Roman" w:hAnsi="Times New Roman"/>
            <w:noProof/>
            <w:sz w:val="24"/>
            <w:szCs w:val="24"/>
          </w:rPr>
          <w:t>Assessment of State Plan Progress and Performance</w:t>
        </w:r>
        <w:r w:rsidR="009D79D6">
          <w:rPr>
            <w:rStyle w:val="Hyperlink"/>
            <w:rFonts w:ascii="Times New Roman" w:hAnsi="Times New Roman"/>
            <w:noProof/>
            <w:webHidden/>
            <w:color w:val="auto"/>
            <w:sz w:val="24"/>
            <w:szCs w:val="24"/>
          </w:rPr>
          <w:tab/>
          <w:t>5</w:t>
        </w:r>
      </w:hyperlink>
    </w:p>
    <w:p w14:paraId="32364E27" w14:textId="77777777" w:rsidR="00384419" w:rsidRDefault="00000000">
      <w:pPr>
        <w:pStyle w:val="TOC2"/>
        <w:tabs>
          <w:tab w:val="left" w:pos="720"/>
          <w:tab w:val="right" w:leader="dot" w:pos="9350"/>
        </w:tabs>
        <w:rPr>
          <w:rFonts w:ascii="Times New Roman" w:eastAsiaTheme="minorEastAsia" w:hAnsi="Times New Roman" w:cs="Times New Roman"/>
          <w:noProof/>
          <w:sz w:val="22"/>
          <w:szCs w:val="22"/>
        </w:rPr>
      </w:pPr>
      <w:hyperlink r:id="rId14" w:anchor="_Toc30092934" w:history="1">
        <w:r w:rsidR="009D79D6">
          <w:rPr>
            <w:rStyle w:val="Hyperlink"/>
            <w:rFonts w:ascii="Times New Roman" w:hAnsi="Times New Roman"/>
            <w:noProof/>
            <w:sz w:val="24"/>
            <w:szCs w:val="24"/>
          </w:rPr>
          <w:t>A.</w:t>
        </w:r>
        <w:r w:rsidR="009D79D6">
          <w:rPr>
            <w:rStyle w:val="Hyperlink"/>
            <w:rFonts w:ascii="Times New Roman" w:eastAsiaTheme="minorEastAsia" w:hAnsi="Times New Roman"/>
            <w:noProof/>
            <w:color w:val="auto"/>
            <w:sz w:val="24"/>
            <w:szCs w:val="24"/>
          </w:rPr>
          <w:tab/>
        </w:r>
        <w:r w:rsidR="009D79D6">
          <w:rPr>
            <w:rStyle w:val="Hyperlink"/>
            <w:rFonts w:ascii="Times New Roman" w:hAnsi="Times New Roman"/>
            <w:noProof/>
            <w:sz w:val="24"/>
            <w:szCs w:val="24"/>
          </w:rPr>
          <w:t>Data and Methodology</w:t>
        </w:r>
        <w:r w:rsidR="009D79D6">
          <w:rPr>
            <w:rStyle w:val="Hyperlink"/>
            <w:rFonts w:ascii="Times New Roman" w:hAnsi="Times New Roman"/>
            <w:noProof/>
            <w:webHidden/>
            <w:color w:val="auto"/>
            <w:sz w:val="24"/>
            <w:szCs w:val="24"/>
          </w:rPr>
          <w:tab/>
          <w:t>5</w:t>
        </w:r>
      </w:hyperlink>
    </w:p>
    <w:p w14:paraId="6860FA25" w14:textId="77777777" w:rsidR="00384419" w:rsidRDefault="00000000">
      <w:pPr>
        <w:pStyle w:val="TOC2"/>
        <w:tabs>
          <w:tab w:val="left" w:pos="720"/>
          <w:tab w:val="right" w:leader="dot" w:pos="9350"/>
        </w:tabs>
        <w:rPr>
          <w:rFonts w:ascii="Times New Roman" w:eastAsiaTheme="minorEastAsia" w:hAnsi="Times New Roman" w:cs="Times New Roman"/>
          <w:noProof/>
          <w:sz w:val="24"/>
          <w:szCs w:val="24"/>
        </w:rPr>
      </w:pPr>
      <w:hyperlink r:id="rId15" w:anchor="_Toc30092935" w:history="1">
        <w:r w:rsidR="009D79D6">
          <w:rPr>
            <w:rStyle w:val="Hyperlink"/>
            <w:rFonts w:ascii="Times New Roman" w:hAnsi="Times New Roman"/>
            <w:noProof/>
            <w:sz w:val="24"/>
            <w:szCs w:val="24"/>
          </w:rPr>
          <w:t>B.</w:t>
        </w:r>
        <w:r w:rsidR="009D79D6">
          <w:rPr>
            <w:rStyle w:val="Hyperlink"/>
            <w:rFonts w:ascii="Times New Roman" w:eastAsiaTheme="minorEastAsia" w:hAnsi="Times New Roman"/>
            <w:noProof/>
            <w:color w:val="auto"/>
            <w:sz w:val="24"/>
            <w:szCs w:val="24"/>
          </w:rPr>
          <w:tab/>
        </w:r>
        <w:r w:rsidR="009D79D6">
          <w:rPr>
            <w:rStyle w:val="Hyperlink"/>
            <w:rFonts w:ascii="Times New Roman" w:hAnsi="Times New Roman"/>
            <w:noProof/>
            <w:sz w:val="24"/>
            <w:szCs w:val="24"/>
          </w:rPr>
          <w:t>Review of State Plan Performance</w:t>
        </w:r>
        <w:r w:rsidR="009D79D6">
          <w:rPr>
            <w:rStyle w:val="Hyperlink"/>
            <w:rFonts w:ascii="Times New Roman" w:hAnsi="Times New Roman"/>
            <w:noProof/>
            <w:webHidden/>
            <w:color w:val="auto"/>
            <w:sz w:val="24"/>
            <w:szCs w:val="24"/>
          </w:rPr>
          <w:tab/>
        </w:r>
      </w:hyperlink>
      <w:r w:rsidR="009D79D6">
        <w:rPr>
          <w:rFonts w:ascii="Times New Roman" w:hAnsi="Times New Roman" w:cs="Times New Roman"/>
          <w:noProof/>
          <w:sz w:val="24"/>
          <w:szCs w:val="24"/>
        </w:rPr>
        <w:t>6</w:t>
      </w:r>
    </w:p>
    <w:p w14:paraId="6B693E52" w14:textId="77777777" w:rsidR="00384419" w:rsidRDefault="00000000">
      <w:pPr>
        <w:pStyle w:val="TOC3"/>
        <w:rPr>
          <w:rFonts w:eastAsiaTheme="minorEastAsia"/>
        </w:rPr>
      </w:pPr>
      <w:hyperlink r:id="rId16" w:anchor="_Toc30092936" w:history="1">
        <w:r w:rsidR="009D79D6">
          <w:rPr>
            <w:rStyle w:val="Hyperlink"/>
            <w:i w:val="0"/>
          </w:rPr>
          <w:t>1.</w:t>
        </w:r>
        <w:r w:rsidR="009D79D6">
          <w:rPr>
            <w:rStyle w:val="Hyperlink"/>
            <w:rFonts w:eastAsiaTheme="minorEastAsia"/>
            <w:i w:val="0"/>
            <w:color w:val="auto"/>
          </w:rPr>
          <w:tab/>
        </w:r>
        <w:r w:rsidR="009D79D6">
          <w:rPr>
            <w:rStyle w:val="Hyperlink"/>
            <w:i w:val="0"/>
          </w:rPr>
          <w:t>Program Administration</w:t>
        </w:r>
        <w:r w:rsidR="009D79D6">
          <w:rPr>
            <w:rStyle w:val="Hyperlink"/>
            <w:i w:val="0"/>
            <w:webHidden/>
            <w:color w:val="auto"/>
          </w:rPr>
          <w:tab/>
        </w:r>
      </w:hyperlink>
      <w:r w:rsidR="009D79D6">
        <w:rPr>
          <w:i w:val="0"/>
          <w:iCs w:val="0"/>
        </w:rPr>
        <w:t>6</w:t>
      </w:r>
    </w:p>
    <w:p w14:paraId="3F88CAAC" w14:textId="77777777" w:rsidR="00384419" w:rsidRDefault="00000000">
      <w:pPr>
        <w:pStyle w:val="TOC3"/>
        <w:rPr>
          <w:rFonts w:eastAsiaTheme="minorEastAsia"/>
        </w:rPr>
      </w:pPr>
      <w:hyperlink r:id="rId17" w:anchor="_Toc30092937" w:history="1">
        <w:r w:rsidR="009D79D6">
          <w:rPr>
            <w:rStyle w:val="Hyperlink"/>
            <w:i w:val="0"/>
          </w:rPr>
          <w:t>2.</w:t>
        </w:r>
        <w:r w:rsidR="009D79D6">
          <w:rPr>
            <w:rStyle w:val="Hyperlink"/>
            <w:rFonts w:eastAsiaTheme="minorEastAsia"/>
            <w:i w:val="0"/>
            <w:color w:val="auto"/>
          </w:rPr>
          <w:tab/>
        </w:r>
        <w:r w:rsidR="009D79D6">
          <w:rPr>
            <w:rStyle w:val="Hyperlink"/>
            <w:i w:val="0"/>
          </w:rPr>
          <w:t>Enforcement</w:t>
        </w:r>
        <w:r w:rsidR="009D79D6">
          <w:rPr>
            <w:rStyle w:val="Hyperlink"/>
            <w:i w:val="0"/>
            <w:webHidden/>
            <w:color w:val="auto"/>
          </w:rPr>
          <w:tab/>
        </w:r>
      </w:hyperlink>
      <w:r w:rsidR="009D79D6">
        <w:rPr>
          <w:i w:val="0"/>
          <w:iCs w:val="0"/>
        </w:rPr>
        <w:t>8</w:t>
      </w:r>
    </w:p>
    <w:p w14:paraId="7DD3FE20" w14:textId="77777777" w:rsidR="00384419" w:rsidRDefault="00000000">
      <w:pPr>
        <w:pStyle w:val="TOC3"/>
        <w:rPr>
          <w:rFonts w:eastAsiaTheme="minorEastAsia"/>
        </w:rPr>
      </w:pPr>
      <w:hyperlink r:id="rId18" w:anchor="_Toc30092938" w:history="1">
        <w:r w:rsidR="009D79D6">
          <w:rPr>
            <w:rStyle w:val="Hyperlink"/>
            <w:i w:val="0"/>
          </w:rPr>
          <w:t>3.</w:t>
        </w:r>
        <w:r w:rsidR="009D79D6">
          <w:rPr>
            <w:rStyle w:val="Hyperlink"/>
            <w:rFonts w:eastAsiaTheme="minorEastAsia"/>
            <w:i w:val="0"/>
            <w:color w:val="auto"/>
          </w:rPr>
          <w:tab/>
        </w:r>
        <w:r w:rsidR="009D79D6">
          <w:rPr>
            <w:rStyle w:val="Hyperlink"/>
            <w:i w:val="0"/>
          </w:rPr>
          <w:t>Review procedures</w:t>
        </w:r>
        <w:r w:rsidR="009D79D6">
          <w:rPr>
            <w:rStyle w:val="Hyperlink"/>
            <w:i w:val="0"/>
            <w:webHidden/>
            <w:color w:val="auto"/>
          </w:rPr>
          <w:tab/>
        </w:r>
      </w:hyperlink>
      <w:r w:rsidR="009D79D6">
        <w:rPr>
          <w:i w:val="0"/>
          <w:iCs w:val="0"/>
        </w:rPr>
        <w:t>12</w:t>
      </w:r>
    </w:p>
    <w:p w14:paraId="48C90311" w14:textId="77777777" w:rsidR="00384419" w:rsidRDefault="00000000">
      <w:pPr>
        <w:pStyle w:val="TOC3"/>
        <w:rPr>
          <w:rFonts w:eastAsiaTheme="minorEastAsia"/>
        </w:rPr>
      </w:pPr>
      <w:hyperlink r:id="rId19" w:anchor="_Toc30092939" w:history="1">
        <w:r w:rsidR="009D79D6">
          <w:rPr>
            <w:rStyle w:val="Hyperlink"/>
            <w:i w:val="0"/>
            <w:iCs w:val="0"/>
          </w:rPr>
          <w:t>4.</w:t>
        </w:r>
        <w:r w:rsidR="009D79D6">
          <w:rPr>
            <w:rStyle w:val="Hyperlink"/>
            <w:rFonts w:eastAsiaTheme="minorEastAsia"/>
            <w:i w:val="0"/>
            <w:iCs w:val="0"/>
            <w:color w:val="auto"/>
          </w:rPr>
          <w:tab/>
        </w:r>
        <w:r w:rsidR="009D79D6">
          <w:rPr>
            <w:rStyle w:val="Hyperlink"/>
            <w:i w:val="0"/>
            <w:iCs w:val="0"/>
          </w:rPr>
          <w:t>Standards and Federal Program Change (FPC) Adoption</w:t>
        </w:r>
        <w:r w:rsidR="009D79D6">
          <w:rPr>
            <w:rStyle w:val="Hyperlink"/>
            <w:i w:val="0"/>
            <w:iCs w:val="0"/>
            <w:webHidden/>
            <w:color w:val="auto"/>
          </w:rPr>
          <w:tab/>
          <w:t>1</w:t>
        </w:r>
      </w:hyperlink>
      <w:r w:rsidR="009D79D6">
        <w:rPr>
          <w:i w:val="0"/>
          <w:iCs w:val="0"/>
        </w:rPr>
        <w:t>3</w:t>
      </w:r>
    </w:p>
    <w:p w14:paraId="62877D50" w14:textId="77777777" w:rsidR="00384419" w:rsidRDefault="00000000">
      <w:pPr>
        <w:pStyle w:val="TOC3"/>
        <w:rPr>
          <w:rFonts w:eastAsiaTheme="minorEastAsia"/>
        </w:rPr>
      </w:pPr>
      <w:hyperlink r:id="rId20" w:anchor="_Toc30092941" w:history="1">
        <w:r w:rsidR="009D79D6">
          <w:rPr>
            <w:rStyle w:val="Hyperlink"/>
            <w:i w:val="0"/>
          </w:rPr>
          <w:t>6.</w:t>
        </w:r>
        <w:r w:rsidR="009D79D6">
          <w:rPr>
            <w:rStyle w:val="Hyperlink"/>
            <w:rFonts w:eastAsiaTheme="minorEastAsia"/>
            <w:i w:val="0"/>
            <w:color w:val="auto"/>
          </w:rPr>
          <w:tab/>
        </w:r>
        <w:r w:rsidR="009D79D6">
          <w:rPr>
            <w:rStyle w:val="Hyperlink"/>
            <w:i w:val="0"/>
          </w:rPr>
          <w:t>State And Local Government Worker Program</w:t>
        </w:r>
        <w:r w:rsidR="009D79D6">
          <w:rPr>
            <w:rStyle w:val="Hyperlink"/>
            <w:i w:val="0"/>
            <w:webHidden/>
            <w:color w:val="auto"/>
          </w:rPr>
          <w:tab/>
        </w:r>
      </w:hyperlink>
      <w:r w:rsidR="009D79D6">
        <w:rPr>
          <w:i w:val="0"/>
          <w:iCs w:val="0"/>
        </w:rPr>
        <w:t>17</w:t>
      </w:r>
    </w:p>
    <w:p w14:paraId="02DF539D" w14:textId="5A8574F7" w:rsidR="00384419" w:rsidRDefault="00000000">
      <w:pPr>
        <w:pStyle w:val="TOC3"/>
        <w:rPr>
          <w:rFonts w:eastAsiaTheme="minorEastAsia"/>
        </w:rPr>
      </w:pPr>
      <w:hyperlink r:id="rId21" w:anchor="_Toc30092942" w:history="1">
        <w:r w:rsidR="009D79D6">
          <w:rPr>
            <w:rStyle w:val="Hyperlink"/>
            <w:i w:val="0"/>
            <w:iCs w:val="0"/>
          </w:rPr>
          <w:t>7.</w:t>
        </w:r>
        <w:r w:rsidR="009D79D6">
          <w:rPr>
            <w:rStyle w:val="Hyperlink"/>
            <w:rFonts w:eastAsiaTheme="minorEastAsia"/>
            <w:i w:val="0"/>
            <w:iCs w:val="0"/>
            <w:color w:val="auto"/>
          </w:rPr>
          <w:tab/>
        </w:r>
        <w:r w:rsidR="009D79D6">
          <w:rPr>
            <w:rStyle w:val="Hyperlink"/>
            <w:i w:val="0"/>
            <w:iCs w:val="0"/>
          </w:rPr>
          <w:t>Whistleblower Program</w:t>
        </w:r>
        <w:r w:rsidR="009D79D6">
          <w:rPr>
            <w:rStyle w:val="Hyperlink"/>
            <w:i w:val="0"/>
            <w:iCs w:val="0"/>
            <w:webHidden/>
            <w:color w:val="auto"/>
          </w:rPr>
          <w:tab/>
          <w:t>1</w:t>
        </w:r>
      </w:hyperlink>
      <w:r w:rsidR="003D2591" w:rsidRPr="00D77282">
        <w:rPr>
          <w:rStyle w:val="Hyperlink"/>
          <w:i w:val="0"/>
          <w:iCs w:val="0"/>
          <w:color w:val="auto"/>
          <w:u w:val="none"/>
        </w:rPr>
        <w:t>8</w:t>
      </w:r>
    </w:p>
    <w:p w14:paraId="4C975094" w14:textId="2129BA9F" w:rsidR="00384419" w:rsidRDefault="00000000">
      <w:pPr>
        <w:pStyle w:val="TOC3"/>
        <w:rPr>
          <w:rFonts w:eastAsiaTheme="minorEastAsia"/>
        </w:rPr>
      </w:pPr>
      <w:hyperlink r:id="rId22" w:anchor="_Toc30092943" w:history="1">
        <w:r w:rsidR="009D79D6">
          <w:rPr>
            <w:rStyle w:val="Hyperlink"/>
            <w:i w:val="0"/>
          </w:rPr>
          <w:t>8.</w:t>
        </w:r>
        <w:r w:rsidR="009D79D6">
          <w:rPr>
            <w:rStyle w:val="Hyperlink"/>
            <w:rFonts w:eastAsiaTheme="minorEastAsia"/>
            <w:i w:val="0"/>
            <w:color w:val="auto"/>
          </w:rPr>
          <w:tab/>
        </w:r>
        <w:r w:rsidR="009D79D6">
          <w:rPr>
            <w:rStyle w:val="Hyperlink"/>
            <w:i w:val="0"/>
          </w:rPr>
          <w:t>Complaint About State Program Administration (CASPA)</w:t>
        </w:r>
        <w:r w:rsidR="009D79D6">
          <w:rPr>
            <w:rStyle w:val="Hyperlink"/>
            <w:i w:val="0"/>
            <w:webHidden/>
            <w:color w:val="auto"/>
          </w:rPr>
          <w:tab/>
          <w:t>2</w:t>
        </w:r>
      </w:hyperlink>
      <w:r w:rsidR="002B1855" w:rsidRPr="002B1855">
        <w:rPr>
          <w:rStyle w:val="Hyperlink"/>
          <w:i w:val="0"/>
          <w:color w:val="auto"/>
          <w:u w:val="none"/>
        </w:rPr>
        <w:t>1</w:t>
      </w:r>
    </w:p>
    <w:p w14:paraId="63FB0D7D" w14:textId="01578C63" w:rsidR="00384419" w:rsidRDefault="00000000">
      <w:pPr>
        <w:pStyle w:val="TOC3"/>
        <w:rPr>
          <w:rFonts w:eastAsiaTheme="minorEastAsia"/>
        </w:rPr>
      </w:pPr>
      <w:hyperlink r:id="rId23" w:anchor="_Toc30092944" w:history="1">
        <w:r w:rsidR="009D79D6">
          <w:rPr>
            <w:rStyle w:val="Hyperlink"/>
            <w:i w:val="0"/>
          </w:rPr>
          <w:t>9.</w:t>
        </w:r>
        <w:r w:rsidR="009D79D6">
          <w:rPr>
            <w:rStyle w:val="Hyperlink"/>
            <w:rFonts w:eastAsiaTheme="minorEastAsia"/>
            <w:i w:val="0"/>
            <w:color w:val="auto"/>
          </w:rPr>
          <w:tab/>
        </w:r>
        <w:r w:rsidR="009D79D6">
          <w:rPr>
            <w:rStyle w:val="Hyperlink"/>
            <w:i w:val="0"/>
          </w:rPr>
          <w:t>Voluntary Compliance Program</w:t>
        </w:r>
        <w:r w:rsidR="009D79D6">
          <w:rPr>
            <w:rStyle w:val="Hyperlink"/>
            <w:i w:val="0"/>
            <w:webHidden/>
            <w:color w:val="auto"/>
          </w:rPr>
          <w:tab/>
          <w:t>2</w:t>
        </w:r>
      </w:hyperlink>
      <w:r w:rsidR="002B1855" w:rsidRPr="002B1855">
        <w:rPr>
          <w:rStyle w:val="Hyperlink"/>
          <w:i w:val="0"/>
          <w:color w:val="auto"/>
          <w:u w:val="none"/>
        </w:rPr>
        <w:t>1</w:t>
      </w:r>
    </w:p>
    <w:p w14:paraId="31416F72" w14:textId="77777777" w:rsidR="00384419" w:rsidRDefault="00000000">
      <w:pPr>
        <w:pStyle w:val="TOC3"/>
        <w:rPr>
          <w:rFonts w:eastAsiaTheme="minorEastAsia"/>
        </w:rPr>
      </w:pPr>
      <w:hyperlink r:id="rId24" w:anchor="_Toc30092945" w:history="1">
        <w:r w:rsidR="009D79D6">
          <w:rPr>
            <w:rStyle w:val="Hyperlink"/>
            <w:i w:val="0"/>
          </w:rPr>
          <w:t>10.</w:t>
        </w:r>
        <w:r w:rsidR="009D79D6">
          <w:rPr>
            <w:rStyle w:val="Hyperlink"/>
            <w:rFonts w:eastAsiaTheme="minorEastAsia"/>
            <w:i w:val="0"/>
            <w:color w:val="auto"/>
          </w:rPr>
          <w:t xml:space="preserve">   </w:t>
        </w:r>
        <w:r w:rsidR="009D79D6">
          <w:rPr>
            <w:rStyle w:val="Hyperlink"/>
            <w:i w:val="0"/>
          </w:rPr>
          <w:t>State And Local Government 23(g) On-site Consultation Program</w:t>
        </w:r>
        <w:r w:rsidR="009D79D6">
          <w:rPr>
            <w:rStyle w:val="Hyperlink"/>
            <w:i w:val="0"/>
            <w:webHidden/>
            <w:color w:val="auto"/>
          </w:rPr>
          <w:tab/>
          <w:t>2</w:t>
        </w:r>
      </w:hyperlink>
      <w:r w:rsidR="009D79D6">
        <w:rPr>
          <w:i w:val="0"/>
          <w:iCs w:val="0"/>
        </w:rPr>
        <w:t>2</w:t>
      </w:r>
    </w:p>
    <w:p w14:paraId="365D25A2" w14:textId="77777777" w:rsidR="00384419" w:rsidRDefault="009D79D6">
      <w:pPr>
        <w:widowControl/>
        <w:autoSpaceDE/>
        <w:autoSpaceDN/>
        <w:adjustRightInd/>
        <w:ind w:left="1800"/>
        <w:contextualSpacing/>
        <w:rPr>
          <w:noProof/>
        </w:rPr>
      </w:pPr>
      <w:r>
        <w:rPr>
          <w:i/>
        </w:rPr>
        <w:fldChar w:fldCharType="end"/>
      </w:r>
    </w:p>
    <w:p w14:paraId="2E797AB0" w14:textId="77777777" w:rsidR="00384419" w:rsidRDefault="009D79D6">
      <w:pPr>
        <w:widowControl/>
        <w:tabs>
          <w:tab w:val="left" w:pos="720"/>
          <w:tab w:val="right" w:leader="dot" w:pos="9350"/>
        </w:tabs>
        <w:autoSpaceDE/>
        <w:autoSpaceDN/>
        <w:adjustRightInd/>
        <w:spacing w:after="100"/>
        <w:ind w:left="720" w:hanging="720"/>
        <w:jc w:val="center"/>
        <w:rPr>
          <w:b/>
          <w:noProof/>
          <w:color w:val="4F81BD" w:themeColor="accent1"/>
          <w:sz w:val="32"/>
          <w:szCs w:val="32"/>
        </w:rPr>
      </w:pPr>
      <w:r>
        <w:rPr>
          <w:b/>
          <w:noProof/>
          <w:color w:val="4F81BD" w:themeColor="accent1"/>
          <w:sz w:val="32"/>
          <w:szCs w:val="32"/>
        </w:rPr>
        <w:t>Appendices</w:t>
      </w:r>
    </w:p>
    <w:p w14:paraId="05648CAE" w14:textId="77777777" w:rsidR="00384419" w:rsidRDefault="00384419">
      <w:pPr>
        <w:tabs>
          <w:tab w:val="left" w:pos="1125"/>
        </w:tabs>
        <w:rPr>
          <w:b/>
          <w:sz w:val="28"/>
          <w:szCs w:val="28"/>
        </w:rPr>
      </w:pPr>
    </w:p>
    <w:p w14:paraId="7D75A169" w14:textId="77777777" w:rsidR="00384419" w:rsidRDefault="009D79D6">
      <w:pPr>
        <w:keepNext/>
        <w:keepLines/>
        <w:widowControl/>
        <w:autoSpaceDE/>
        <w:autoSpaceDN/>
        <w:adjustRightInd/>
        <w:outlineLvl w:val="0"/>
        <w:rPr>
          <w:bCs/>
          <w:sz w:val="28"/>
          <w:szCs w:val="28"/>
        </w:rPr>
      </w:pPr>
      <w:bookmarkStart w:id="1" w:name="_Toc338764299"/>
      <w:bookmarkStart w:id="2" w:name="_Toc331583278"/>
      <w:r>
        <w:rPr>
          <w:bCs/>
          <w:sz w:val="28"/>
          <w:szCs w:val="28"/>
        </w:rPr>
        <w:t>Appendix A – New and Continued Findings and Recommendations</w:t>
      </w:r>
      <w:bookmarkStart w:id="3" w:name="_Toc338764300"/>
      <w:bookmarkEnd w:id="1"/>
      <w:r>
        <w:rPr>
          <w:bCs/>
          <w:sz w:val="28"/>
          <w:szCs w:val="28"/>
        </w:rPr>
        <w:t>…………...A-1</w:t>
      </w:r>
    </w:p>
    <w:p w14:paraId="24BE2DCF" w14:textId="77777777" w:rsidR="00384419" w:rsidRDefault="009D79D6">
      <w:pPr>
        <w:widowControl/>
        <w:autoSpaceDE/>
        <w:autoSpaceDN/>
        <w:adjustRightInd/>
        <w:rPr>
          <w:b/>
          <w:bCs/>
          <w:sz w:val="28"/>
          <w:szCs w:val="28"/>
        </w:rPr>
      </w:pPr>
      <w:r>
        <w:rPr>
          <w:sz w:val="28"/>
          <w:szCs w:val="28"/>
        </w:rPr>
        <w:t>Appendix B – Observations and Federal Monitoring Plans………………..........B-1</w:t>
      </w:r>
    </w:p>
    <w:p w14:paraId="2EF030FF" w14:textId="7D1C5889" w:rsidR="00384419" w:rsidRDefault="009D79D6">
      <w:pPr>
        <w:keepNext/>
        <w:keepLines/>
        <w:widowControl/>
        <w:autoSpaceDE/>
        <w:autoSpaceDN/>
        <w:adjustRightInd/>
        <w:outlineLvl w:val="0"/>
        <w:rPr>
          <w:bCs/>
          <w:sz w:val="28"/>
          <w:szCs w:val="28"/>
        </w:rPr>
      </w:pPr>
      <w:r>
        <w:rPr>
          <w:bCs/>
          <w:sz w:val="28"/>
          <w:szCs w:val="28"/>
        </w:rPr>
        <w:t xml:space="preserve">Appendix C – Status of </w:t>
      </w:r>
      <w:r w:rsidR="00C510E1">
        <w:rPr>
          <w:bCs/>
          <w:sz w:val="28"/>
          <w:szCs w:val="28"/>
        </w:rPr>
        <w:t>FY 2023</w:t>
      </w:r>
      <w:r>
        <w:rPr>
          <w:bCs/>
          <w:sz w:val="28"/>
          <w:szCs w:val="28"/>
        </w:rPr>
        <w:t xml:space="preserve"> Findings and Recommendations</w:t>
      </w:r>
      <w:bookmarkEnd w:id="3"/>
      <w:r>
        <w:rPr>
          <w:bCs/>
          <w:sz w:val="28"/>
          <w:szCs w:val="28"/>
        </w:rPr>
        <w:t>…………......C-1</w:t>
      </w:r>
    </w:p>
    <w:p w14:paraId="4F947576" w14:textId="4163DC9D" w:rsidR="00384419" w:rsidRDefault="009D79D6">
      <w:pPr>
        <w:keepNext/>
        <w:keepLines/>
        <w:widowControl/>
        <w:autoSpaceDE/>
        <w:autoSpaceDN/>
        <w:adjustRightInd/>
        <w:ind w:left="1710" w:hanging="1710"/>
        <w:outlineLvl w:val="0"/>
        <w:rPr>
          <w:bCs/>
          <w:sz w:val="28"/>
          <w:szCs w:val="28"/>
        </w:rPr>
      </w:pPr>
      <w:bookmarkStart w:id="4" w:name="_Toc338764301"/>
      <w:r>
        <w:rPr>
          <w:bCs/>
          <w:sz w:val="28"/>
          <w:szCs w:val="28"/>
        </w:rPr>
        <w:t xml:space="preserve">Appendix D – </w:t>
      </w:r>
      <w:r w:rsidR="00C510E1">
        <w:rPr>
          <w:bCs/>
          <w:sz w:val="28"/>
          <w:szCs w:val="28"/>
        </w:rPr>
        <w:t>FY 2023</w:t>
      </w:r>
      <w:r>
        <w:rPr>
          <w:bCs/>
          <w:sz w:val="28"/>
          <w:szCs w:val="28"/>
        </w:rPr>
        <w:t xml:space="preserve"> State Activity Mandated Measures (</w:t>
      </w:r>
      <w:bookmarkEnd w:id="4"/>
      <w:r>
        <w:rPr>
          <w:bCs/>
          <w:sz w:val="28"/>
          <w:szCs w:val="28"/>
        </w:rPr>
        <w:t>SAMM) Report…………………………………………………………....D-1</w:t>
      </w:r>
      <w:bookmarkEnd w:id="2"/>
    </w:p>
    <w:p w14:paraId="0D6B0D02" w14:textId="77777777" w:rsidR="00384419" w:rsidRDefault="00384419">
      <w:pPr>
        <w:tabs>
          <w:tab w:val="left" w:pos="1125"/>
        </w:tabs>
        <w:rPr>
          <w:b/>
        </w:rPr>
      </w:pPr>
    </w:p>
    <w:p w14:paraId="5EDEB0BC" w14:textId="77777777" w:rsidR="00384419" w:rsidRDefault="00384419">
      <w:pPr>
        <w:tabs>
          <w:tab w:val="left" w:pos="1125"/>
        </w:tabs>
        <w:rPr>
          <w:b/>
        </w:rPr>
      </w:pPr>
    </w:p>
    <w:p w14:paraId="202F002E" w14:textId="77777777" w:rsidR="00384419" w:rsidRDefault="00384419">
      <w:pPr>
        <w:tabs>
          <w:tab w:val="left" w:pos="1125"/>
        </w:tabs>
        <w:rPr>
          <w:b/>
        </w:rPr>
      </w:pPr>
    </w:p>
    <w:p w14:paraId="46269D0F" w14:textId="77777777" w:rsidR="00384419" w:rsidRDefault="00384419">
      <w:pPr>
        <w:tabs>
          <w:tab w:val="left" w:pos="1125"/>
        </w:tabs>
        <w:rPr>
          <w:b/>
        </w:rPr>
      </w:pPr>
    </w:p>
    <w:p w14:paraId="526412B4" w14:textId="77777777" w:rsidR="00384419" w:rsidRDefault="00384419">
      <w:pPr>
        <w:tabs>
          <w:tab w:val="left" w:pos="1125"/>
        </w:tabs>
        <w:rPr>
          <w:b/>
        </w:rPr>
      </w:pPr>
    </w:p>
    <w:p w14:paraId="642E5D74" w14:textId="77777777" w:rsidR="00384419" w:rsidRDefault="00384419">
      <w:pPr>
        <w:tabs>
          <w:tab w:val="left" w:pos="1125"/>
        </w:tabs>
        <w:rPr>
          <w:b/>
        </w:rPr>
      </w:pPr>
    </w:p>
    <w:p w14:paraId="61C411B7" w14:textId="77777777" w:rsidR="00384419" w:rsidRDefault="00384419">
      <w:pPr>
        <w:tabs>
          <w:tab w:val="left" w:pos="1125"/>
        </w:tabs>
        <w:rPr>
          <w:b/>
        </w:rPr>
      </w:pPr>
    </w:p>
    <w:p w14:paraId="39E88CDF" w14:textId="77777777" w:rsidR="00384419" w:rsidRDefault="00384419">
      <w:pPr>
        <w:tabs>
          <w:tab w:val="left" w:pos="1125"/>
        </w:tabs>
        <w:rPr>
          <w:b/>
        </w:rPr>
      </w:pPr>
    </w:p>
    <w:p w14:paraId="2971165D" w14:textId="77777777" w:rsidR="00384419" w:rsidRDefault="00384419">
      <w:pPr>
        <w:tabs>
          <w:tab w:val="left" w:pos="1125"/>
        </w:tabs>
        <w:rPr>
          <w:b/>
        </w:rPr>
      </w:pPr>
    </w:p>
    <w:p w14:paraId="7273AEF8" w14:textId="77777777" w:rsidR="00384419" w:rsidRDefault="00384419">
      <w:pPr>
        <w:tabs>
          <w:tab w:val="left" w:pos="1125"/>
        </w:tabs>
        <w:rPr>
          <w:b/>
        </w:rPr>
      </w:pPr>
    </w:p>
    <w:p w14:paraId="5B0C6158" w14:textId="77777777" w:rsidR="00384419" w:rsidRDefault="00384419">
      <w:pPr>
        <w:tabs>
          <w:tab w:val="left" w:pos="1125"/>
        </w:tabs>
        <w:rPr>
          <w:b/>
        </w:rPr>
      </w:pPr>
    </w:p>
    <w:p w14:paraId="6D704F97" w14:textId="77777777" w:rsidR="00366B2D" w:rsidRDefault="00366B2D">
      <w:pPr>
        <w:tabs>
          <w:tab w:val="left" w:pos="1125"/>
        </w:tabs>
        <w:rPr>
          <w:b/>
        </w:rPr>
      </w:pPr>
    </w:p>
    <w:p w14:paraId="06231AC2" w14:textId="77777777" w:rsidR="00366B2D" w:rsidRDefault="00366B2D">
      <w:pPr>
        <w:tabs>
          <w:tab w:val="left" w:pos="1125"/>
        </w:tabs>
        <w:rPr>
          <w:b/>
        </w:rPr>
      </w:pPr>
    </w:p>
    <w:p w14:paraId="4FCA6CE3" w14:textId="77777777" w:rsidR="00366B2D" w:rsidRDefault="00366B2D">
      <w:pPr>
        <w:tabs>
          <w:tab w:val="left" w:pos="1125"/>
        </w:tabs>
        <w:rPr>
          <w:b/>
        </w:rPr>
      </w:pPr>
    </w:p>
    <w:p w14:paraId="1DBABD1F" w14:textId="77777777" w:rsidR="00366B2D" w:rsidRDefault="00366B2D">
      <w:pPr>
        <w:tabs>
          <w:tab w:val="left" w:pos="1125"/>
        </w:tabs>
        <w:rPr>
          <w:b/>
        </w:rPr>
      </w:pPr>
    </w:p>
    <w:p w14:paraId="04FF538D" w14:textId="77777777" w:rsidR="00384419" w:rsidRDefault="00384419">
      <w:pPr>
        <w:tabs>
          <w:tab w:val="left" w:pos="1125"/>
        </w:tabs>
        <w:rPr>
          <w:b/>
        </w:rPr>
      </w:pPr>
    </w:p>
    <w:p w14:paraId="5234EEE3" w14:textId="77777777" w:rsidR="00384419" w:rsidRDefault="00384419">
      <w:pPr>
        <w:tabs>
          <w:tab w:val="left" w:pos="1125"/>
        </w:tabs>
        <w:rPr>
          <w:b/>
        </w:rPr>
      </w:pPr>
    </w:p>
    <w:p w14:paraId="74D41100" w14:textId="29D40AAC" w:rsidR="00384419" w:rsidRDefault="009D79D6" w:rsidP="00705ED8">
      <w:pPr>
        <w:pStyle w:val="ListParagraph"/>
        <w:numPr>
          <w:ilvl w:val="0"/>
          <w:numId w:val="13"/>
        </w:numPr>
        <w:spacing w:after="0"/>
        <w:rPr>
          <w:rFonts w:ascii="Times New Roman" w:hAnsi="Times New Roman" w:cs="Times New Roman"/>
          <w:b/>
          <w:bCs/>
          <w:color w:val="4F81BD" w:themeColor="accent1"/>
          <w:sz w:val="32"/>
          <w:szCs w:val="32"/>
        </w:rPr>
      </w:pPr>
      <w:r w:rsidRPr="55214296">
        <w:rPr>
          <w:rFonts w:ascii="Times New Roman" w:hAnsi="Times New Roman" w:cs="Times New Roman"/>
          <w:b/>
          <w:color w:val="4F80BD"/>
          <w:sz w:val="32"/>
          <w:szCs w:val="32"/>
        </w:rPr>
        <w:lastRenderedPageBreak/>
        <w:t>Executive Summary</w:t>
      </w:r>
      <w:r w:rsidR="74EACAD5" w:rsidRPr="55214296">
        <w:rPr>
          <w:b/>
          <w:bCs/>
          <w:color w:val="4F80BD"/>
          <w:sz w:val="32"/>
          <w:szCs w:val="32"/>
        </w:rPr>
        <w:t xml:space="preserve"> </w:t>
      </w:r>
    </w:p>
    <w:p w14:paraId="32A9275B" w14:textId="5F6FFE34" w:rsidR="00384419" w:rsidRDefault="00384419" w:rsidP="55214296">
      <w:pPr>
        <w:rPr>
          <w:b/>
          <w:color w:val="4F80BD"/>
        </w:rPr>
      </w:pPr>
    </w:p>
    <w:p w14:paraId="0B9BBCB9" w14:textId="01AAAA4B" w:rsidR="00384419" w:rsidRDefault="009D79D6" w:rsidP="00366B2D">
      <w:pPr>
        <w:tabs>
          <w:tab w:val="left" w:pos="1125"/>
        </w:tabs>
        <w:jc w:val="both"/>
        <w:rPr>
          <w:color w:val="4F81BD" w:themeColor="accent1"/>
        </w:rPr>
      </w:pPr>
      <w:r>
        <w:t>The purpose of this report is to assess the State Plan’s performance for Fiscal Year (FY) 202</w:t>
      </w:r>
      <w:r w:rsidR="00EE6C69">
        <w:t>3</w:t>
      </w:r>
      <w:r>
        <w:t xml:space="preserve">.  </w:t>
      </w:r>
      <w:r>
        <w:rPr>
          <w:lang w:val="en"/>
        </w:rPr>
        <w:t xml:space="preserve">The </w:t>
      </w:r>
      <w:r w:rsidR="00C510E1">
        <w:rPr>
          <w:lang w:val="en"/>
        </w:rPr>
        <w:t>FY 2023</w:t>
      </w:r>
      <w:r>
        <w:rPr>
          <w:lang w:val="en"/>
        </w:rPr>
        <w:t xml:space="preserve"> FAME report is a comprehensive FAME report.  This report is focused on the State’s overall enforcement program and its compliance assistance activities.  This report is also based on the results of quarterly onsite monitoring visits</w:t>
      </w:r>
      <w:r w:rsidR="00EE6C69">
        <w:rPr>
          <w:lang w:val="en"/>
        </w:rPr>
        <w:t>,</w:t>
      </w:r>
      <w:r>
        <w:rPr>
          <w:lang w:val="en"/>
        </w:rPr>
        <w:t xml:space="preserve"> the State Office Annual Report (SOAR) for </w:t>
      </w:r>
      <w:r w:rsidR="00C510E1">
        <w:rPr>
          <w:lang w:val="en"/>
        </w:rPr>
        <w:t>FY 2023</w:t>
      </w:r>
      <w:r>
        <w:rPr>
          <w:lang w:val="en"/>
        </w:rPr>
        <w:t xml:space="preserve">, the </w:t>
      </w:r>
      <w:r w:rsidRPr="74CC9C3B">
        <w:t>State Activity Mandated Measures (SAMM) Report, as well as the State Indicator Report</w:t>
      </w:r>
      <w:r w:rsidRPr="74CC9C3B">
        <w:rPr>
          <w:b/>
        </w:rPr>
        <w:t xml:space="preserve"> </w:t>
      </w:r>
      <w:r>
        <w:rPr>
          <w:bCs/>
          <w:szCs w:val="28"/>
        </w:rPr>
        <w:t>(</w:t>
      </w:r>
      <w:r>
        <w:rPr>
          <w:lang w:val="en"/>
        </w:rPr>
        <w:t>SIR) reports ending September 30, 202</w:t>
      </w:r>
      <w:r w:rsidR="00BA4BB3">
        <w:rPr>
          <w:lang w:val="en"/>
        </w:rPr>
        <w:t>3</w:t>
      </w:r>
      <w:r>
        <w:rPr>
          <w:lang w:val="en"/>
        </w:rPr>
        <w:t>.</w:t>
      </w:r>
      <w:r>
        <w:t xml:space="preserve">  A review of the SAMM data for </w:t>
      </w:r>
      <w:r w:rsidR="00C510E1">
        <w:t>FY 2023</w:t>
      </w:r>
      <w:r>
        <w:t xml:space="preserve"> indicated NC Department of Labor’s (NCDOL) Occupational Safety and Health Division (OSHNC) generally met or exceeded federal activity results.  OSHNC continued to meet all criteria for an effective State Plan.</w:t>
      </w:r>
      <w:r w:rsidR="00011F9B">
        <w:t xml:space="preserve">  </w:t>
      </w:r>
      <w:r>
        <w:t>These</w:t>
      </w:r>
      <w:r>
        <w:rPr>
          <w:spacing w:val="-1"/>
        </w:rPr>
        <w:t xml:space="preserve"> </w:t>
      </w:r>
      <w:r>
        <w:t>SAMM measures</w:t>
      </w:r>
      <w:r>
        <w:rPr>
          <w:spacing w:val="2"/>
        </w:rPr>
        <w:t xml:space="preserve"> </w:t>
      </w:r>
      <w:r>
        <w:t>are</w:t>
      </w:r>
      <w:r>
        <w:rPr>
          <w:spacing w:val="-1"/>
        </w:rPr>
        <w:t xml:space="preserve"> </w:t>
      </w:r>
      <w:r>
        <w:t>identified and discussed in detail throughout the</w:t>
      </w:r>
      <w:r>
        <w:rPr>
          <w:spacing w:val="-1"/>
        </w:rPr>
        <w:t xml:space="preserve"> </w:t>
      </w:r>
      <w:r>
        <w:t>FAME</w:t>
      </w:r>
      <w:r>
        <w:rPr>
          <w:spacing w:val="-1"/>
        </w:rPr>
        <w:t xml:space="preserve"> </w:t>
      </w:r>
      <w:r>
        <w:t>report.</w:t>
      </w:r>
    </w:p>
    <w:p w14:paraId="190E96C8" w14:textId="77777777" w:rsidR="009F583B" w:rsidRDefault="009F583B" w:rsidP="00366B2D">
      <w:pPr>
        <w:jc w:val="both"/>
      </w:pPr>
    </w:p>
    <w:p w14:paraId="3F12A3CE" w14:textId="56041638" w:rsidR="00CC13C5" w:rsidRDefault="009D79D6" w:rsidP="00CC13C5">
      <w:pPr>
        <w:jc w:val="both"/>
        <w:rPr>
          <w:rFonts w:eastAsia="Calibri"/>
        </w:rPr>
      </w:pPr>
      <w:r w:rsidRPr="00F947B4">
        <w:t xml:space="preserve">The North Carolina Occupational Safety and Health Strategic Management Plan for FY 2019 to FY 2023 established two strategic goals: </w:t>
      </w:r>
      <w:r w:rsidR="009F583B">
        <w:rPr>
          <w:bCs/>
        </w:rPr>
        <w:t xml:space="preserve">1) </w:t>
      </w:r>
      <w:r w:rsidR="009F583B" w:rsidRPr="0023345A">
        <w:rPr>
          <w:bCs/>
        </w:rPr>
        <w:t>Reduce the rate of workplace fatalities by 2%</w:t>
      </w:r>
      <w:r w:rsidR="009F583B">
        <w:rPr>
          <w:bCs/>
        </w:rPr>
        <w:t xml:space="preserve"> and 2) </w:t>
      </w:r>
      <w:r w:rsidR="009F583B" w:rsidRPr="0023345A">
        <w:rPr>
          <w:bCs/>
        </w:rPr>
        <w:t xml:space="preserve">Reduce the rate of workplace injuries and illnesses by </w:t>
      </w:r>
      <w:r w:rsidR="009F583B">
        <w:rPr>
          <w:bCs/>
        </w:rPr>
        <w:t>5</w:t>
      </w:r>
      <w:r w:rsidR="009F583B" w:rsidRPr="0023345A">
        <w:rPr>
          <w:bCs/>
        </w:rPr>
        <w:t>%</w:t>
      </w:r>
      <w:r w:rsidR="009F583B">
        <w:rPr>
          <w:bCs/>
        </w:rPr>
        <w:t xml:space="preserve">.  </w:t>
      </w:r>
      <w:r w:rsidR="00CC13C5" w:rsidRPr="00781649">
        <w:rPr>
          <w:bCs/>
        </w:rPr>
        <w:t>F</w:t>
      </w:r>
      <w:r w:rsidRPr="00781649">
        <w:rPr>
          <w:rFonts w:eastAsia="Calibri"/>
        </w:rPr>
        <w:t xml:space="preserve">atalities rose in North Carolina </w:t>
      </w:r>
      <w:r w:rsidR="042CA0E5" w:rsidRPr="55214296">
        <w:rPr>
          <w:rFonts w:eastAsia="Calibri"/>
        </w:rPr>
        <w:t>by 4%</w:t>
      </w:r>
      <w:r w:rsidRPr="00781649">
        <w:rPr>
          <w:rFonts w:eastAsia="Calibri"/>
        </w:rPr>
        <w:t xml:space="preserve"> </w:t>
      </w:r>
      <w:r w:rsidR="00C510E1" w:rsidRPr="00781649">
        <w:rPr>
          <w:rFonts w:eastAsia="Calibri"/>
        </w:rPr>
        <w:t>FY 2023</w:t>
      </w:r>
      <w:r w:rsidR="00781649" w:rsidRPr="00781649">
        <w:rPr>
          <w:rFonts w:eastAsia="Calibri"/>
        </w:rPr>
        <w:t>.  F</w:t>
      </w:r>
      <w:r w:rsidRPr="00781649">
        <w:rPr>
          <w:rFonts w:eastAsia="Calibri"/>
        </w:rPr>
        <w:t xml:space="preserve">atalities </w:t>
      </w:r>
      <w:r w:rsidR="00781649" w:rsidRPr="00781649">
        <w:rPr>
          <w:rFonts w:eastAsia="Calibri"/>
        </w:rPr>
        <w:t>in</w:t>
      </w:r>
      <w:r w:rsidRPr="00781649">
        <w:rPr>
          <w:rFonts w:eastAsia="Calibri"/>
        </w:rPr>
        <w:t xml:space="preserve">creased </w:t>
      </w:r>
      <w:r w:rsidR="00781649" w:rsidRPr="00781649">
        <w:rPr>
          <w:rFonts w:eastAsia="Calibri"/>
        </w:rPr>
        <w:t xml:space="preserve">in manufacturing and the wholesale sector </w:t>
      </w:r>
      <w:r w:rsidRPr="00781649">
        <w:rPr>
          <w:rFonts w:eastAsia="Calibri"/>
        </w:rPr>
        <w:t xml:space="preserve">compared to the same time-period last year.  </w:t>
      </w:r>
      <w:r w:rsidR="00F947B4">
        <w:rPr>
          <w:rFonts w:eastAsia="Calibri"/>
        </w:rPr>
        <w:t xml:space="preserve"> However, there was a significant decrease in </w:t>
      </w:r>
      <w:r w:rsidR="00F32FA4">
        <w:rPr>
          <w:rFonts w:eastAsia="Calibri"/>
        </w:rPr>
        <w:t xml:space="preserve">fatalities in </w:t>
      </w:r>
      <w:r w:rsidR="00F947B4">
        <w:rPr>
          <w:rFonts w:eastAsia="Calibri"/>
        </w:rPr>
        <w:t xml:space="preserve">Agriculture, Forestry, Fishing and Government.  </w:t>
      </w:r>
    </w:p>
    <w:p w14:paraId="067223D5" w14:textId="77777777" w:rsidR="00F32FA4" w:rsidRDefault="00F32FA4" w:rsidP="00F32FA4">
      <w:pPr>
        <w:widowControl/>
        <w:autoSpaceDE/>
        <w:autoSpaceDN/>
        <w:adjustRightInd/>
        <w:rPr>
          <w:rFonts w:eastAsia="Calibri"/>
        </w:rPr>
      </w:pPr>
    </w:p>
    <w:p w14:paraId="20F82342" w14:textId="5A5A7F75" w:rsidR="00F32FA4" w:rsidRPr="00A84949" w:rsidRDefault="00F32FA4" w:rsidP="00F32FA4">
      <w:pPr>
        <w:widowControl/>
        <w:autoSpaceDE/>
        <w:autoSpaceDN/>
        <w:adjustRightInd/>
        <w:jc w:val="both"/>
        <w:rPr>
          <w:color w:val="000000" w:themeColor="text1"/>
        </w:rPr>
      </w:pPr>
      <w:r w:rsidRPr="00A84949">
        <w:rPr>
          <w:color w:val="000000" w:themeColor="text1"/>
        </w:rPr>
        <w:t>To recognize the efforts to reduce fatalities in agriculture, the Agricultural Safety and Health (ASH) Bureau educated farmers, farm labor contractors, and other stakeholders about heat stress prevention through in</w:t>
      </w:r>
      <w:r w:rsidR="00722E12" w:rsidRPr="00A84949">
        <w:rPr>
          <w:color w:val="000000" w:themeColor="text1"/>
        </w:rPr>
        <w:t>-</w:t>
      </w:r>
      <w:r w:rsidRPr="00A84949">
        <w:rPr>
          <w:color w:val="000000" w:themeColor="text1"/>
        </w:rPr>
        <w:t xml:space="preserve">person training events and </w:t>
      </w:r>
      <w:r w:rsidR="00722E12" w:rsidRPr="00A84949">
        <w:rPr>
          <w:color w:val="000000" w:themeColor="text1"/>
        </w:rPr>
        <w:t>through d</w:t>
      </w:r>
      <w:r w:rsidRPr="00A84949">
        <w:rPr>
          <w:color w:val="000000" w:themeColor="text1"/>
        </w:rPr>
        <w:t>istributi</w:t>
      </w:r>
      <w:r w:rsidR="00722E12" w:rsidRPr="00A84949">
        <w:rPr>
          <w:color w:val="000000" w:themeColor="text1"/>
        </w:rPr>
        <w:t xml:space="preserve">on of </w:t>
      </w:r>
      <w:r w:rsidRPr="00A84949">
        <w:rPr>
          <w:color w:val="000000" w:themeColor="text1"/>
        </w:rPr>
        <w:t xml:space="preserve">bilingual </w:t>
      </w:r>
      <w:r w:rsidR="00722E12" w:rsidRPr="00A84949">
        <w:rPr>
          <w:color w:val="000000" w:themeColor="text1"/>
        </w:rPr>
        <w:t xml:space="preserve">heat stress </w:t>
      </w:r>
      <w:r w:rsidRPr="00A84949">
        <w:rPr>
          <w:color w:val="000000" w:themeColor="text1"/>
        </w:rPr>
        <w:t>publications</w:t>
      </w:r>
      <w:r w:rsidR="00722E12" w:rsidRPr="00A84949">
        <w:rPr>
          <w:color w:val="000000" w:themeColor="text1"/>
        </w:rPr>
        <w:t xml:space="preserve">, </w:t>
      </w:r>
      <w:r w:rsidRPr="00A84949">
        <w:rPr>
          <w:color w:val="000000" w:themeColor="text1"/>
        </w:rPr>
        <w:t>during preoccupancy inspections of migrant housing throughout the state</w:t>
      </w:r>
      <w:r w:rsidRPr="00A84949">
        <w:rPr>
          <w:rFonts w:eastAsia="Calibri"/>
          <w:color w:val="000000" w:themeColor="text1"/>
        </w:rPr>
        <w:t xml:space="preserve">.  </w:t>
      </w:r>
      <w:r w:rsidRPr="00A84949">
        <w:rPr>
          <w:color w:val="000000" w:themeColor="text1"/>
        </w:rPr>
        <w:t xml:space="preserve">ASH participated in two </w:t>
      </w:r>
      <w:r w:rsidR="00722E12" w:rsidRPr="00A84949">
        <w:rPr>
          <w:color w:val="000000" w:themeColor="text1"/>
        </w:rPr>
        <w:t>F</w:t>
      </w:r>
      <w:r w:rsidRPr="00A84949">
        <w:rPr>
          <w:color w:val="000000" w:themeColor="text1"/>
        </w:rPr>
        <w:t xml:space="preserve">arm </w:t>
      </w:r>
      <w:r w:rsidR="00722E12" w:rsidRPr="00A84949">
        <w:rPr>
          <w:color w:val="000000" w:themeColor="text1"/>
        </w:rPr>
        <w:t>L</w:t>
      </w:r>
      <w:r w:rsidRPr="00A84949">
        <w:rPr>
          <w:color w:val="000000" w:themeColor="text1"/>
        </w:rPr>
        <w:t xml:space="preserve">abor </w:t>
      </w:r>
      <w:r w:rsidR="00722E12" w:rsidRPr="00A84949">
        <w:rPr>
          <w:color w:val="000000" w:themeColor="text1"/>
        </w:rPr>
        <w:t>C</w:t>
      </w:r>
      <w:r w:rsidRPr="00A84949">
        <w:rPr>
          <w:color w:val="000000" w:themeColor="text1"/>
        </w:rPr>
        <w:t>ontractor (FLC) workshops hosted by N.C. Cooperative Extension</w:t>
      </w:r>
      <w:r w:rsidR="00722E12" w:rsidRPr="00A84949">
        <w:rPr>
          <w:color w:val="000000" w:themeColor="text1"/>
        </w:rPr>
        <w:t xml:space="preserve">. A total of </w:t>
      </w:r>
      <w:r w:rsidRPr="00A84949">
        <w:rPr>
          <w:color w:val="000000" w:themeColor="text1"/>
        </w:rPr>
        <w:t xml:space="preserve">29 FLCs </w:t>
      </w:r>
      <w:r w:rsidR="00722E12" w:rsidRPr="00A84949">
        <w:rPr>
          <w:color w:val="000000" w:themeColor="text1"/>
        </w:rPr>
        <w:t>were trained on the following t</w:t>
      </w:r>
      <w:r w:rsidRPr="00A84949">
        <w:rPr>
          <w:color w:val="000000" w:themeColor="text1"/>
        </w:rPr>
        <w:t>opics: migrant housing regulations</w:t>
      </w:r>
      <w:r w:rsidR="00722E12" w:rsidRPr="00A84949">
        <w:rPr>
          <w:color w:val="000000" w:themeColor="text1"/>
        </w:rPr>
        <w:t>;</w:t>
      </w:r>
      <w:r w:rsidRPr="00A84949">
        <w:rPr>
          <w:color w:val="000000" w:themeColor="text1"/>
        </w:rPr>
        <w:t xml:space="preserve"> field sanitation requirements</w:t>
      </w:r>
      <w:r w:rsidR="00722E12" w:rsidRPr="00A84949">
        <w:rPr>
          <w:color w:val="000000" w:themeColor="text1"/>
        </w:rPr>
        <w:t>;</w:t>
      </w:r>
      <w:r w:rsidRPr="00A84949">
        <w:rPr>
          <w:color w:val="000000" w:themeColor="text1"/>
        </w:rPr>
        <w:t xml:space="preserve"> and heat stress prevention.  The ASH Bureau Chief also presented at an H2A stakeholder event that was attended by 274 farmers, farm labor contractors, H2A agents, and other</w:t>
      </w:r>
      <w:r w:rsidR="00722E12" w:rsidRPr="00A84949">
        <w:rPr>
          <w:color w:val="000000" w:themeColor="text1"/>
        </w:rPr>
        <w:t>s</w:t>
      </w:r>
      <w:r w:rsidRPr="00A84949">
        <w:rPr>
          <w:color w:val="000000" w:themeColor="text1"/>
        </w:rPr>
        <w:t xml:space="preserve">. </w:t>
      </w:r>
      <w:r w:rsidR="00722E12" w:rsidRPr="00A84949">
        <w:rPr>
          <w:color w:val="000000" w:themeColor="text1"/>
        </w:rPr>
        <w:t>During this event the following t</w:t>
      </w:r>
      <w:r w:rsidRPr="00A84949">
        <w:rPr>
          <w:color w:val="000000" w:themeColor="text1"/>
        </w:rPr>
        <w:t xml:space="preserve">raining topics </w:t>
      </w:r>
      <w:r w:rsidR="00722E12" w:rsidRPr="00A84949">
        <w:rPr>
          <w:color w:val="000000" w:themeColor="text1"/>
        </w:rPr>
        <w:t>were addressed</w:t>
      </w:r>
      <w:r w:rsidRPr="00A84949">
        <w:rPr>
          <w:color w:val="000000" w:themeColor="text1"/>
        </w:rPr>
        <w:t>: migrant housing regulations</w:t>
      </w:r>
      <w:r w:rsidR="00722E12" w:rsidRPr="00A84949">
        <w:rPr>
          <w:color w:val="000000" w:themeColor="text1"/>
        </w:rPr>
        <w:t>;</w:t>
      </w:r>
      <w:r w:rsidRPr="00A84949">
        <w:rPr>
          <w:color w:val="000000" w:themeColor="text1"/>
        </w:rPr>
        <w:t xml:space="preserve"> field sanitation requirements</w:t>
      </w:r>
      <w:r w:rsidR="00722E12" w:rsidRPr="00A84949">
        <w:rPr>
          <w:color w:val="000000" w:themeColor="text1"/>
        </w:rPr>
        <w:t>;</w:t>
      </w:r>
      <w:r w:rsidRPr="00A84949">
        <w:rPr>
          <w:color w:val="000000" w:themeColor="text1"/>
        </w:rPr>
        <w:t xml:space="preserve"> and heat stress prevention.</w:t>
      </w:r>
    </w:p>
    <w:p w14:paraId="5DCA2094" w14:textId="77777777" w:rsidR="00CC13C5" w:rsidRPr="00A84949" w:rsidRDefault="00CC13C5" w:rsidP="00CC13C5">
      <w:pPr>
        <w:jc w:val="both"/>
        <w:rPr>
          <w:rFonts w:eastAsia="Calibri"/>
          <w:color w:val="FF0000"/>
        </w:rPr>
      </w:pPr>
    </w:p>
    <w:p w14:paraId="753DCE91" w14:textId="79811CCB" w:rsidR="00CC13C5" w:rsidRPr="00CC13C5" w:rsidRDefault="00CE37FE" w:rsidP="00CC13C5">
      <w:pPr>
        <w:jc w:val="both"/>
        <w:rPr>
          <w:rFonts w:eastAsia="Calibri"/>
          <w:color w:val="FF0000"/>
        </w:rPr>
      </w:pPr>
      <w:r>
        <w:rPr>
          <w:color w:val="000000" w:themeColor="text1"/>
          <w:shd w:val="clear" w:color="auto" w:fill="FFFFFF"/>
        </w:rPr>
        <w:t>During this FAME period, the</w:t>
      </w:r>
      <w:r w:rsidR="00CC13C5" w:rsidRPr="00A84949">
        <w:rPr>
          <w:color w:val="000000" w:themeColor="text1"/>
          <w:shd w:val="clear" w:color="auto" w:fill="FFFFFF"/>
        </w:rPr>
        <w:t>, North Carolina minimum and maximum civil penalties associated with occupational safety and health standard violations were increased</w:t>
      </w:r>
      <w:r w:rsidR="00A0254B" w:rsidRPr="00A0254B">
        <w:rPr>
          <w:color w:val="000000" w:themeColor="text1"/>
          <w:shd w:val="clear" w:color="auto" w:fill="FFFFFF"/>
        </w:rPr>
        <w:t xml:space="preserve"> </w:t>
      </w:r>
      <w:r w:rsidR="00A0254B">
        <w:rPr>
          <w:color w:val="000000" w:themeColor="text1"/>
          <w:shd w:val="clear" w:color="auto" w:fill="FFFFFF"/>
        </w:rPr>
        <w:t>e</w:t>
      </w:r>
      <w:r w:rsidR="00A0254B" w:rsidRPr="00A84949">
        <w:rPr>
          <w:color w:val="000000" w:themeColor="text1"/>
          <w:shd w:val="clear" w:color="auto" w:fill="FFFFFF"/>
        </w:rPr>
        <w:t>ffective October 1, 2022</w:t>
      </w:r>
      <w:r w:rsidR="00CC13C5" w:rsidRPr="00A84949">
        <w:rPr>
          <w:color w:val="000000" w:themeColor="text1"/>
          <w:shd w:val="clear" w:color="auto" w:fill="FFFFFF"/>
        </w:rPr>
        <w:t>. Effective July 1, 2023, they increased</w:t>
      </w:r>
      <w:r w:rsidR="00CC13C5" w:rsidRPr="00F72BD4">
        <w:rPr>
          <w:color w:val="000000" w:themeColor="text1"/>
          <w:shd w:val="clear" w:color="auto" w:fill="FFFFFF"/>
        </w:rPr>
        <w:t xml:space="preserve"> again in accordance with the United States Consumer Price Index published by the United States Department of Labor. These changes are reflected in North Carolina General Statute §95-138(a) in accordance with 13 North Carolina Administrative Code 07A.0301 and 29 CFR 1903. </w:t>
      </w:r>
    </w:p>
    <w:p w14:paraId="058B6619" w14:textId="77777777" w:rsidR="00384419" w:rsidRPr="00BA4BB3" w:rsidRDefault="00384419">
      <w:pPr>
        <w:jc w:val="both"/>
        <w:rPr>
          <w:color w:val="FF0000"/>
        </w:rPr>
      </w:pPr>
    </w:p>
    <w:p w14:paraId="4FD88C2C" w14:textId="709313E4" w:rsidR="00384419" w:rsidRPr="00CC13C5" w:rsidRDefault="009D79D6">
      <w:pPr>
        <w:pStyle w:val="CommentText"/>
        <w:jc w:val="both"/>
        <w:rPr>
          <w:rFonts w:ascii="Times New Roman" w:hAnsi="Times New Roman" w:cs="Times New Roman"/>
          <w:sz w:val="24"/>
          <w:szCs w:val="24"/>
        </w:rPr>
      </w:pPr>
      <w:r w:rsidRPr="00CC13C5">
        <w:rPr>
          <w:rFonts w:ascii="Times New Roman" w:hAnsi="Times New Roman" w:cs="Times New Roman"/>
          <w:sz w:val="24"/>
          <w:szCs w:val="24"/>
        </w:rPr>
        <w:t>Appendix A describes the new and continued findings and recommendations.  Appendix B describes the observations and the related federal monitoring plans, and Appendix C describes the status of previous findings with associated completed corrective actions. Appendix</w:t>
      </w:r>
      <w:r w:rsidR="00CC13C5" w:rsidRPr="00CC13C5">
        <w:rPr>
          <w:rFonts w:ascii="Times New Roman" w:hAnsi="Times New Roman" w:cs="Times New Roman"/>
          <w:sz w:val="24"/>
          <w:szCs w:val="24"/>
        </w:rPr>
        <w:t xml:space="preserve"> A,</w:t>
      </w:r>
      <w:r w:rsidRPr="00CC13C5">
        <w:rPr>
          <w:rFonts w:ascii="Times New Roman" w:hAnsi="Times New Roman" w:cs="Times New Roman"/>
          <w:sz w:val="24"/>
          <w:szCs w:val="24"/>
        </w:rPr>
        <w:t xml:space="preserve"> B and C have been left blank because the State Plan did not have any new </w:t>
      </w:r>
      <w:r w:rsidR="00CC13C5" w:rsidRPr="00CC13C5">
        <w:rPr>
          <w:rFonts w:ascii="Times New Roman" w:hAnsi="Times New Roman" w:cs="Times New Roman"/>
          <w:sz w:val="24"/>
          <w:szCs w:val="24"/>
        </w:rPr>
        <w:t xml:space="preserve">findings or </w:t>
      </w:r>
      <w:r w:rsidRPr="00CC13C5">
        <w:rPr>
          <w:rFonts w:ascii="Times New Roman" w:hAnsi="Times New Roman" w:cs="Times New Roman"/>
          <w:sz w:val="24"/>
          <w:szCs w:val="24"/>
        </w:rPr>
        <w:t xml:space="preserve">observations or previous findings from </w:t>
      </w:r>
      <w:r w:rsidR="00574267">
        <w:rPr>
          <w:rFonts w:ascii="Times New Roman" w:hAnsi="Times New Roman" w:cs="Times New Roman"/>
          <w:sz w:val="24"/>
          <w:szCs w:val="24"/>
        </w:rPr>
        <w:t xml:space="preserve">FY 2022 and </w:t>
      </w:r>
      <w:r w:rsidRPr="00CC13C5">
        <w:rPr>
          <w:rFonts w:ascii="Times New Roman" w:hAnsi="Times New Roman" w:cs="Times New Roman"/>
          <w:sz w:val="24"/>
          <w:szCs w:val="24"/>
        </w:rPr>
        <w:t>FY 202</w:t>
      </w:r>
      <w:r w:rsidR="00574267">
        <w:rPr>
          <w:rFonts w:ascii="Times New Roman" w:hAnsi="Times New Roman" w:cs="Times New Roman"/>
          <w:sz w:val="24"/>
          <w:szCs w:val="24"/>
        </w:rPr>
        <w:t>3</w:t>
      </w:r>
      <w:r w:rsidRPr="00CC13C5">
        <w:rPr>
          <w:rFonts w:ascii="Times New Roman" w:hAnsi="Times New Roman" w:cs="Times New Roman"/>
          <w:sz w:val="24"/>
          <w:szCs w:val="24"/>
        </w:rPr>
        <w:t>.</w:t>
      </w:r>
    </w:p>
    <w:p w14:paraId="41864B93" w14:textId="77777777" w:rsidR="00384419" w:rsidRPr="00BA4BB3" w:rsidRDefault="00384419">
      <w:pPr>
        <w:jc w:val="both"/>
        <w:rPr>
          <w:color w:val="FF0000"/>
        </w:rPr>
      </w:pPr>
    </w:p>
    <w:p w14:paraId="644A7254" w14:textId="77777777" w:rsidR="009F583B" w:rsidRDefault="009F583B" w:rsidP="00722E12">
      <w:pPr>
        <w:widowControl/>
        <w:autoSpaceDE/>
        <w:autoSpaceDN/>
        <w:adjustRightInd/>
        <w:jc w:val="both"/>
        <w:rPr>
          <w:rFonts w:eastAsia="Calibri"/>
          <w:color w:val="000000" w:themeColor="text1"/>
        </w:rPr>
      </w:pPr>
      <w:r w:rsidRPr="00F72BD4">
        <w:rPr>
          <w:rFonts w:eastAsia="Calibri"/>
          <w:color w:val="000000" w:themeColor="text1"/>
        </w:rPr>
        <w:t xml:space="preserve">North Carolina’s injury and illness rates for Calendar Year (CY) 2022 have stayed at historic low levels. The private sector Total Recordable Case (TRC) rate was 2.2 and the Days Away, Restricted, or Transferred (DART) rate was 1.4. These rates are 19% lower and 18% lower, respectively, then the national average. When the public sector numbers are included, the overall TRC rate was 2.4 and the DART rate was 1.4. These rates are 20% lower and 22% lower, respectively, then the national rates. </w:t>
      </w:r>
    </w:p>
    <w:p w14:paraId="7436431D" w14:textId="77777777" w:rsidR="00366B2D" w:rsidRDefault="00366B2D" w:rsidP="00722E12">
      <w:pPr>
        <w:widowControl/>
        <w:autoSpaceDE/>
        <w:autoSpaceDN/>
        <w:adjustRightInd/>
        <w:jc w:val="both"/>
        <w:rPr>
          <w:rFonts w:eastAsia="Calibri"/>
          <w:color w:val="000000" w:themeColor="text1"/>
        </w:rPr>
      </w:pPr>
    </w:p>
    <w:p w14:paraId="4B339E77" w14:textId="77777777" w:rsidR="00366B2D" w:rsidRDefault="00366B2D" w:rsidP="00722E12">
      <w:pPr>
        <w:widowControl/>
        <w:autoSpaceDE/>
        <w:autoSpaceDN/>
        <w:adjustRightInd/>
        <w:jc w:val="both"/>
        <w:rPr>
          <w:rFonts w:eastAsia="Calibri"/>
          <w:color w:val="000000" w:themeColor="text1"/>
        </w:rPr>
      </w:pPr>
    </w:p>
    <w:p w14:paraId="0A201EF3" w14:textId="77777777" w:rsidR="00366B2D" w:rsidRPr="00F72BD4" w:rsidRDefault="00366B2D" w:rsidP="00722E12">
      <w:pPr>
        <w:widowControl/>
        <w:autoSpaceDE/>
        <w:autoSpaceDN/>
        <w:adjustRightInd/>
        <w:jc w:val="both"/>
        <w:rPr>
          <w:b/>
          <w:color w:val="000000" w:themeColor="text1"/>
        </w:rPr>
      </w:pPr>
    </w:p>
    <w:p w14:paraId="575C8D37" w14:textId="77777777" w:rsidR="00384419" w:rsidRDefault="009D79D6">
      <w:pPr>
        <w:widowControl/>
        <w:tabs>
          <w:tab w:val="left" w:pos="540"/>
          <w:tab w:val="num" w:pos="1080"/>
        </w:tabs>
        <w:autoSpaceDE/>
        <w:autoSpaceDN/>
        <w:adjustRightInd/>
        <w:rPr>
          <w:b/>
          <w:color w:val="4F81BD" w:themeColor="accent1"/>
          <w:sz w:val="32"/>
          <w:szCs w:val="32"/>
        </w:rPr>
      </w:pPr>
      <w:r>
        <w:rPr>
          <w:b/>
          <w:color w:val="4F81BD" w:themeColor="accent1"/>
          <w:sz w:val="32"/>
          <w:szCs w:val="32"/>
        </w:rPr>
        <w:lastRenderedPageBreak/>
        <w:t>II.   State Plan Background</w:t>
      </w:r>
    </w:p>
    <w:p w14:paraId="14A26906" w14:textId="77777777" w:rsidR="00384419" w:rsidRDefault="00384419">
      <w:pPr>
        <w:widowControl/>
        <w:autoSpaceDE/>
        <w:autoSpaceDN/>
        <w:adjustRightInd/>
        <w:rPr>
          <w:i/>
        </w:rPr>
      </w:pPr>
    </w:p>
    <w:p w14:paraId="35A3D031" w14:textId="77777777" w:rsidR="00384419" w:rsidRDefault="009D79D6" w:rsidP="00705ED8">
      <w:pPr>
        <w:pStyle w:val="ListParagraph"/>
        <w:numPr>
          <w:ilvl w:val="0"/>
          <w:numId w:val="6"/>
        </w:numPr>
        <w:rPr>
          <w:b/>
        </w:rPr>
      </w:pPr>
      <w:r>
        <w:rPr>
          <w:rFonts w:ascii="Times New Roman" w:hAnsi="Times New Roman" w:cs="Times New Roman"/>
          <w:b/>
          <w:sz w:val="24"/>
          <w:szCs w:val="24"/>
        </w:rPr>
        <w:t>Background</w:t>
      </w:r>
    </w:p>
    <w:p w14:paraId="6876A670" w14:textId="702B990F" w:rsidR="00384419" w:rsidRPr="00DE11D1" w:rsidRDefault="009D79D6">
      <w:pPr>
        <w:ind w:left="60"/>
        <w:jc w:val="both"/>
      </w:pPr>
      <w:r>
        <w:t xml:space="preserve">The North Carolina Occupational Safety and Health State Plan received final approval, under Section 18(e) of the OSH Act on December 10, 1996.  The official designated as responsible for administering the program, under OSHNC, is the Commissioner of Labor.  The Commissioner of Labor is a constitutional officer selected through a statewide election.  During the evaluation period, the Commissioner of Labor was Josh Dobson.  Within the NC Department of Labor, the Occupational Safety and Health Division has responsibility for carrying out the requirements of the State </w:t>
      </w:r>
      <w:r w:rsidRPr="00DE11D1">
        <w:t xml:space="preserve">Plan.  </w:t>
      </w:r>
      <w:r w:rsidR="00DE11D1" w:rsidRPr="00DE11D1">
        <w:t>Jennifer Haigwood</w:t>
      </w:r>
      <w:r w:rsidRPr="00DE11D1">
        <w:t xml:space="preserve"> serves as Deputy Commissioner/Director of the Occupational Safety and Health Division, and </w:t>
      </w:r>
      <w:r w:rsidR="00DE11D1" w:rsidRPr="00DE11D1">
        <w:t>Paul Sullivan</w:t>
      </w:r>
      <w:r w:rsidRPr="00DE11D1">
        <w:t xml:space="preserve"> serves as Assistant Deputy Commissioner/Assistant Director of the OSH Division.  Commissioner Dobson and his leadership team were all in position during the evaluation period. </w:t>
      </w:r>
    </w:p>
    <w:p w14:paraId="2ADC1132" w14:textId="77777777" w:rsidR="00384419" w:rsidRDefault="009D79D6">
      <w:pPr>
        <w:ind w:left="60"/>
        <w:jc w:val="both"/>
      </w:pPr>
      <w:r>
        <w:t>    </w:t>
      </w:r>
    </w:p>
    <w:p w14:paraId="578C8454" w14:textId="1B850036" w:rsidR="00384419" w:rsidRPr="000042C8" w:rsidRDefault="009D79D6">
      <w:pPr>
        <w:ind w:left="60"/>
        <w:jc w:val="both"/>
        <w:rPr>
          <w:sz w:val="22"/>
          <w:szCs w:val="22"/>
        </w:rPr>
      </w:pPr>
      <w:r>
        <w:t>The Occupational Safety and Health Division is organized into the following operating units: East and West Compliance Bureaus; Bureau of Education, Training, and Technical Assistance (ETTA); Bureau of Consultative Services; Bureau of Planning, Statistics, and Information Management (PSIM), and the Agricultural Safety and Health (ASH) Bureau.  The main office and a district office are located in Raleigh, with four additional offices located throughout the State: Asheville; Charlotte; Winston-Salem; and Wilmington</w:t>
      </w:r>
      <w:r w:rsidRPr="000042C8">
        <w:t xml:space="preserve">.  Currently, there are 196.8 positions funded under the 23(g) grant, including 102 positions, which are 100% </w:t>
      </w:r>
      <w:r w:rsidR="007D6E3C" w:rsidRPr="000042C8">
        <w:t>state funded</w:t>
      </w:r>
      <w:r w:rsidRPr="000042C8">
        <w:t>.  These positions include 6</w:t>
      </w:r>
      <w:r w:rsidR="000042C8" w:rsidRPr="000042C8">
        <w:t>4</w:t>
      </w:r>
      <w:r w:rsidRPr="000042C8">
        <w:t xml:space="preserve"> safety compliance officers and 45 health compliance officers assigned to district offices throughout the State.  Additional safety and health professionals work in ETTA with responsibilities related to training, development of outreach materials, standards, and the Carolina Star Program (Voluntary Protection Program).  The worker population in North Carolina consists of approximately 4,436,892 workers, and nearly 282,534 establishments.</w:t>
      </w:r>
    </w:p>
    <w:p w14:paraId="44BD6A33" w14:textId="77777777" w:rsidR="00384419" w:rsidRPr="000042C8" w:rsidRDefault="00384419">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
        <w:jc w:val="both"/>
      </w:pPr>
    </w:p>
    <w:p w14:paraId="319FFEA5" w14:textId="77777777" w:rsidR="00384419" w:rsidRDefault="009D79D6">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
        <w:jc w:val="both"/>
      </w:pPr>
      <w:r>
        <w:t xml:space="preserve">Employee protection from retaliation related to occupational safety and health is administered by the Employment Discrimination Bureau, which falls under the Deputy Commissioner for Standards and Inspections, in the North Carolina Department of Labor.  This Bureau covers several types of employment-related retaliation, in addition to whistleblower protection that falls under the jurisdiction of the State Plan.  </w:t>
      </w:r>
    </w:p>
    <w:p w14:paraId="61F8CACB" w14:textId="77777777" w:rsidR="00384419" w:rsidRDefault="009D79D6">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
        <w:jc w:val="both"/>
      </w:pPr>
      <w:r>
        <w:t xml:space="preserve"> </w:t>
      </w:r>
    </w:p>
    <w:p w14:paraId="2088B932" w14:textId="57CD9F9E" w:rsidR="00384419" w:rsidRDefault="009D79D6">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
        <w:jc w:val="both"/>
      </w:pPr>
      <w:r>
        <w:t xml:space="preserve">The North Carolina Department of Labor provides private sector onsite consultative services through a 21(d) Grant.  There are 20.1 positions funded under the 21(d) grant, including consultants, administrative staff, and managerial employees.  Four of the 21(d) positions are 100% </w:t>
      </w:r>
      <w:r w:rsidR="007D6E3C">
        <w:t>state funded</w:t>
      </w:r>
      <w:r>
        <w:t>.  State and local government 23(g) grant consultative services, enforcement, and compliance assistance activities, are accomplished by the same staff, in accordance with consultation procedures established for the private sector.  OSHNC’s Carolina Star Program organizationally falls within the Education, Training, and Technical Assistance Bureau.</w:t>
      </w:r>
    </w:p>
    <w:p w14:paraId="383578C6" w14:textId="77777777" w:rsidR="00384419" w:rsidRDefault="00384419">
      <w:pPr>
        <w:ind w:left="60"/>
        <w:jc w:val="both"/>
      </w:pPr>
    </w:p>
    <w:p w14:paraId="5E43F0D9" w14:textId="75C5FC2F" w:rsidR="00DE11D1" w:rsidRPr="008F7DF1" w:rsidRDefault="00DE11D1" w:rsidP="00DE11D1">
      <w:pPr>
        <w:pStyle w:val="ListParagraph"/>
        <w:ind w:left="420"/>
        <w:rPr>
          <w:rFonts w:ascii="Times New Roman" w:hAnsi="Times New Roman" w:cs="Times New Roman"/>
          <w:sz w:val="24"/>
          <w:szCs w:val="24"/>
        </w:rPr>
      </w:pPr>
      <w:r w:rsidRPr="008F7DF1">
        <w:rPr>
          <w:rFonts w:ascii="Times New Roman" w:hAnsi="Times New Roman" w:cs="Times New Roman"/>
          <w:sz w:val="24"/>
          <w:szCs w:val="24"/>
        </w:rPr>
        <w:t>The table below shows OSHNC’s funding levels from FY 2019 through FY 2023</w:t>
      </w:r>
      <w:r w:rsidR="006C3C0D">
        <w:rPr>
          <w:rFonts w:ascii="Times New Roman" w:hAnsi="Times New Roman" w:cs="Times New Roman"/>
          <w:sz w:val="24"/>
          <w:szCs w:val="24"/>
        </w:rPr>
        <w:t>:</w:t>
      </w:r>
    </w:p>
    <w:tbl>
      <w:tblPr>
        <w:tblpPr w:leftFromText="195" w:rightFromText="195" w:vertAnchor="text"/>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0"/>
        <w:gridCol w:w="1288"/>
        <w:gridCol w:w="1322"/>
        <w:gridCol w:w="2614"/>
        <w:gridCol w:w="1706"/>
        <w:gridCol w:w="1710"/>
      </w:tblGrid>
      <w:tr w:rsidR="00DE11D1" w14:paraId="231A7E4A" w14:textId="77777777" w:rsidTr="006C3C0D">
        <w:trPr>
          <w:trHeight w:val="430"/>
        </w:trPr>
        <w:tc>
          <w:tcPr>
            <w:tcW w:w="980" w:type="dxa"/>
            <w:tcMar>
              <w:top w:w="0" w:type="dxa"/>
              <w:left w:w="108" w:type="dxa"/>
              <w:bottom w:w="0" w:type="dxa"/>
              <w:right w:w="108" w:type="dxa"/>
            </w:tcMar>
            <w:vAlign w:val="center"/>
            <w:hideMark/>
          </w:tcPr>
          <w:p w14:paraId="6FABAC16" w14:textId="77777777" w:rsidR="00DE11D1" w:rsidRDefault="00DE11D1" w:rsidP="00A42FF4">
            <w:pPr>
              <w:jc w:val="center"/>
              <w:rPr>
                <w:rFonts w:ascii="Calibri" w:hAnsi="Calibri" w:cs="Calibri"/>
                <w:b/>
                <w:bCs/>
              </w:rPr>
            </w:pPr>
            <w:r>
              <w:rPr>
                <w:b/>
                <w:bCs/>
              </w:rPr>
              <w:t>Fiscal Year</w:t>
            </w:r>
          </w:p>
        </w:tc>
        <w:tc>
          <w:tcPr>
            <w:tcW w:w="1288" w:type="dxa"/>
            <w:tcMar>
              <w:top w:w="0" w:type="dxa"/>
              <w:left w:w="108" w:type="dxa"/>
              <w:bottom w:w="0" w:type="dxa"/>
              <w:right w:w="108" w:type="dxa"/>
            </w:tcMar>
            <w:vAlign w:val="center"/>
            <w:hideMark/>
          </w:tcPr>
          <w:p w14:paraId="27F5CB32" w14:textId="77777777" w:rsidR="00DE11D1" w:rsidRDefault="00DE11D1" w:rsidP="00A42FF4">
            <w:pPr>
              <w:jc w:val="center"/>
              <w:rPr>
                <w:rFonts w:ascii="Calibri" w:hAnsi="Calibri" w:cs="Calibri"/>
                <w:b/>
                <w:bCs/>
              </w:rPr>
            </w:pPr>
            <w:r>
              <w:rPr>
                <w:b/>
                <w:bCs/>
              </w:rPr>
              <w:t>Federal Award ($)</w:t>
            </w:r>
          </w:p>
        </w:tc>
        <w:tc>
          <w:tcPr>
            <w:tcW w:w="1322" w:type="dxa"/>
            <w:tcMar>
              <w:top w:w="0" w:type="dxa"/>
              <w:left w:w="108" w:type="dxa"/>
              <w:bottom w:w="0" w:type="dxa"/>
              <w:right w:w="108" w:type="dxa"/>
            </w:tcMar>
            <w:vAlign w:val="center"/>
            <w:hideMark/>
          </w:tcPr>
          <w:p w14:paraId="1B80F2BE" w14:textId="77777777" w:rsidR="00DE11D1" w:rsidRDefault="00DE11D1" w:rsidP="00A42FF4">
            <w:pPr>
              <w:jc w:val="center"/>
              <w:rPr>
                <w:rFonts w:ascii="Calibri" w:hAnsi="Calibri" w:cs="Calibri"/>
                <w:b/>
                <w:bCs/>
              </w:rPr>
            </w:pPr>
            <w:r>
              <w:rPr>
                <w:b/>
                <w:bCs/>
              </w:rPr>
              <w:t>State Plan Match ($)</w:t>
            </w:r>
          </w:p>
        </w:tc>
        <w:tc>
          <w:tcPr>
            <w:tcW w:w="2614" w:type="dxa"/>
            <w:tcMar>
              <w:top w:w="0" w:type="dxa"/>
              <w:left w:w="108" w:type="dxa"/>
              <w:bottom w:w="0" w:type="dxa"/>
              <w:right w:w="108" w:type="dxa"/>
            </w:tcMar>
            <w:vAlign w:val="center"/>
            <w:hideMark/>
          </w:tcPr>
          <w:p w14:paraId="3CED11A1" w14:textId="77777777" w:rsidR="00DE11D1" w:rsidRDefault="00DE11D1" w:rsidP="00A42FF4">
            <w:pPr>
              <w:jc w:val="center"/>
              <w:rPr>
                <w:rFonts w:ascii="Calibri" w:hAnsi="Calibri" w:cs="Calibri"/>
                <w:b/>
                <w:bCs/>
              </w:rPr>
            </w:pPr>
            <w:r>
              <w:rPr>
                <w:b/>
                <w:bCs/>
              </w:rPr>
              <w:t>100% State Funds ($)</w:t>
            </w:r>
          </w:p>
        </w:tc>
        <w:tc>
          <w:tcPr>
            <w:tcW w:w="1706" w:type="dxa"/>
            <w:tcMar>
              <w:top w:w="0" w:type="dxa"/>
              <w:left w:w="108" w:type="dxa"/>
              <w:bottom w:w="0" w:type="dxa"/>
              <w:right w:w="108" w:type="dxa"/>
            </w:tcMar>
            <w:vAlign w:val="center"/>
          </w:tcPr>
          <w:p w14:paraId="6DCA2693" w14:textId="77777777" w:rsidR="00DE11D1" w:rsidRDefault="00DE11D1" w:rsidP="00A42FF4">
            <w:pPr>
              <w:jc w:val="center"/>
              <w:rPr>
                <w:rFonts w:ascii="Calibri" w:hAnsi="Calibri" w:cs="Calibri"/>
                <w:b/>
                <w:bCs/>
              </w:rPr>
            </w:pPr>
          </w:p>
          <w:p w14:paraId="7F36D47A" w14:textId="77777777" w:rsidR="00DE11D1" w:rsidRDefault="00DE11D1" w:rsidP="00A42FF4">
            <w:pPr>
              <w:jc w:val="center"/>
              <w:rPr>
                <w:rFonts w:ascii="Calibri" w:hAnsi="Calibri" w:cs="Calibri"/>
                <w:b/>
                <w:bCs/>
              </w:rPr>
            </w:pPr>
            <w:r>
              <w:rPr>
                <w:b/>
                <w:bCs/>
              </w:rPr>
              <w:t>Total Funding ($)</w:t>
            </w:r>
          </w:p>
        </w:tc>
        <w:tc>
          <w:tcPr>
            <w:tcW w:w="1710" w:type="dxa"/>
            <w:tcMar>
              <w:top w:w="0" w:type="dxa"/>
              <w:left w:w="108" w:type="dxa"/>
              <w:bottom w:w="0" w:type="dxa"/>
              <w:right w:w="108" w:type="dxa"/>
            </w:tcMar>
            <w:vAlign w:val="center"/>
            <w:hideMark/>
          </w:tcPr>
          <w:p w14:paraId="75824EEB" w14:textId="77777777" w:rsidR="00DE11D1" w:rsidRDefault="00DE11D1" w:rsidP="00A42FF4">
            <w:pPr>
              <w:jc w:val="center"/>
              <w:rPr>
                <w:rFonts w:ascii="Calibri" w:hAnsi="Calibri" w:cs="Calibri"/>
                <w:b/>
                <w:bCs/>
              </w:rPr>
            </w:pPr>
            <w:r>
              <w:rPr>
                <w:b/>
                <w:bCs/>
              </w:rPr>
              <w:t>% of State Plan Contribution</w:t>
            </w:r>
          </w:p>
        </w:tc>
      </w:tr>
      <w:tr w:rsidR="00DE11D1" w14:paraId="6BE7FB2D" w14:textId="77777777" w:rsidTr="006C3C0D">
        <w:trPr>
          <w:trHeight w:val="177"/>
        </w:trPr>
        <w:tc>
          <w:tcPr>
            <w:tcW w:w="980" w:type="dxa"/>
            <w:tcMar>
              <w:top w:w="0" w:type="dxa"/>
              <w:left w:w="108" w:type="dxa"/>
              <w:bottom w:w="0" w:type="dxa"/>
              <w:right w:w="108" w:type="dxa"/>
            </w:tcMar>
            <w:vAlign w:val="center"/>
            <w:hideMark/>
          </w:tcPr>
          <w:p w14:paraId="4A6BAC88" w14:textId="77777777" w:rsidR="00DE11D1" w:rsidRDefault="00DE11D1" w:rsidP="00A42FF4">
            <w:pPr>
              <w:jc w:val="center"/>
              <w:rPr>
                <w:b/>
                <w:bCs/>
              </w:rPr>
            </w:pPr>
            <w:r>
              <w:rPr>
                <w:b/>
                <w:bCs/>
              </w:rPr>
              <w:t>2023</w:t>
            </w:r>
          </w:p>
        </w:tc>
        <w:tc>
          <w:tcPr>
            <w:tcW w:w="1288" w:type="dxa"/>
            <w:tcMar>
              <w:top w:w="0" w:type="dxa"/>
              <w:left w:w="108" w:type="dxa"/>
              <w:bottom w:w="0" w:type="dxa"/>
              <w:right w:w="108" w:type="dxa"/>
            </w:tcMar>
            <w:vAlign w:val="center"/>
            <w:hideMark/>
          </w:tcPr>
          <w:p w14:paraId="1FC6BA78" w14:textId="77777777" w:rsidR="00DE11D1" w:rsidRDefault="00DE11D1" w:rsidP="00A42FF4">
            <w:pPr>
              <w:jc w:val="center"/>
            </w:pPr>
            <w:r>
              <w:t>6,469,500</w:t>
            </w:r>
          </w:p>
        </w:tc>
        <w:tc>
          <w:tcPr>
            <w:tcW w:w="1322" w:type="dxa"/>
            <w:tcMar>
              <w:top w:w="0" w:type="dxa"/>
              <w:left w:w="108" w:type="dxa"/>
              <w:bottom w:w="0" w:type="dxa"/>
              <w:right w:w="108" w:type="dxa"/>
            </w:tcMar>
            <w:vAlign w:val="center"/>
            <w:hideMark/>
          </w:tcPr>
          <w:p w14:paraId="25EC5800" w14:textId="77777777" w:rsidR="00DE11D1" w:rsidRDefault="00DE11D1" w:rsidP="00A42FF4">
            <w:pPr>
              <w:jc w:val="center"/>
            </w:pPr>
            <w:r>
              <w:t>6,469,500</w:t>
            </w:r>
          </w:p>
        </w:tc>
        <w:tc>
          <w:tcPr>
            <w:tcW w:w="2614" w:type="dxa"/>
            <w:tcMar>
              <w:top w:w="0" w:type="dxa"/>
              <w:left w:w="108" w:type="dxa"/>
              <w:bottom w:w="0" w:type="dxa"/>
              <w:right w:w="108" w:type="dxa"/>
            </w:tcMar>
            <w:vAlign w:val="center"/>
            <w:hideMark/>
          </w:tcPr>
          <w:p w14:paraId="76F8B9A2" w14:textId="77777777" w:rsidR="00DE11D1" w:rsidRDefault="00DE11D1" w:rsidP="00A42FF4">
            <w:pPr>
              <w:jc w:val="center"/>
            </w:pPr>
            <w:r>
              <w:t>9,157,287</w:t>
            </w:r>
          </w:p>
        </w:tc>
        <w:tc>
          <w:tcPr>
            <w:tcW w:w="1706" w:type="dxa"/>
            <w:tcMar>
              <w:top w:w="0" w:type="dxa"/>
              <w:left w:w="108" w:type="dxa"/>
              <w:bottom w:w="0" w:type="dxa"/>
              <w:right w:w="108" w:type="dxa"/>
            </w:tcMar>
            <w:vAlign w:val="center"/>
            <w:hideMark/>
          </w:tcPr>
          <w:p w14:paraId="3EF6808D" w14:textId="77777777" w:rsidR="00DE11D1" w:rsidRDefault="00DE11D1" w:rsidP="00A42FF4">
            <w:pPr>
              <w:jc w:val="center"/>
            </w:pPr>
            <w:r>
              <w:t>22,096,287</w:t>
            </w:r>
          </w:p>
        </w:tc>
        <w:tc>
          <w:tcPr>
            <w:tcW w:w="1710" w:type="dxa"/>
            <w:tcMar>
              <w:top w:w="0" w:type="dxa"/>
              <w:left w:w="108" w:type="dxa"/>
              <w:bottom w:w="0" w:type="dxa"/>
              <w:right w:w="108" w:type="dxa"/>
            </w:tcMar>
            <w:vAlign w:val="center"/>
            <w:hideMark/>
          </w:tcPr>
          <w:p w14:paraId="11AE6F14" w14:textId="77777777" w:rsidR="00DE11D1" w:rsidRDefault="00DE11D1" w:rsidP="00A42FF4">
            <w:pPr>
              <w:jc w:val="center"/>
            </w:pPr>
            <w:r>
              <w:t>70.72</w:t>
            </w:r>
          </w:p>
        </w:tc>
      </w:tr>
      <w:tr w:rsidR="00DE11D1" w14:paraId="0B824CD2" w14:textId="77777777" w:rsidTr="006C3C0D">
        <w:trPr>
          <w:trHeight w:val="177"/>
        </w:trPr>
        <w:tc>
          <w:tcPr>
            <w:tcW w:w="980" w:type="dxa"/>
            <w:tcMar>
              <w:top w:w="0" w:type="dxa"/>
              <w:left w:w="108" w:type="dxa"/>
              <w:bottom w:w="0" w:type="dxa"/>
              <w:right w:w="108" w:type="dxa"/>
            </w:tcMar>
            <w:vAlign w:val="center"/>
            <w:hideMark/>
          </w:tcPr>
          <w:p w14:paraId="3D9BCDEE" w14:textId="77777777" w:rsidR="00DE11D1" w:rsidRDefault="00DE11D1" w:rsidP="00A42FF4">
            <w:pPr>
              <w:jc w:val="center"/>
              <w:rPr>
                <w:b/>
                <w:bCs/>
              </w:rPr>
            </w:pPr>
            <w:r>
              <w:rPr>
                <w:b/>
                <w:bCs/>
              </w:rPr>
              <w:t>2022</w:t>
            </w:r>
          </w:p>
        </w:tc>
        <w:tc>
          <w:tcPr>
            <w:tcW w:w="1288" w:type="dxa"/>
            <w:tcMar>
              <w:top w:w="0" w:type="dxa"/>
              <w:left w:w="108" w:type="dxa"/>
              <w:bottom w:w="0" w:type="dxa"/>
              <w:right w:w="108" w:type="dxa"/>
            </w:tcMar>
            <w:vAlign w:val="center"/>
            <w:hideMark/>
          </w:tcPr>
          <w:p w14:paraId="1D38028C" w14:textId="77777777" w:rsidR="00DE11D1" w:rsidRDefault="00DE11D1" w:rsidP="00A42FF4">
            <w:pPr>
              <w:jc w:val="center"/>
            </w:pPr>
            <w:r>
              <w:t>6,029,800</w:t>
            </w:r>
          </w:p>
        </w:tc>
        <w:tc>
          <w:tcPr>
            <w:tcW w:w="1322" w:type="dxa"/>
            <w:tcMar>
              <w:top w:w="0" w:type="dxa"/>
              <w:left w:w="108" w:type="dxa"/>
              <w:bottom w:w="0" w:type="dxa"/>
              <w:right w:w="108" w:type="dxa"/>
            </w:tcMar>
            <w:vAlign w:val="center"/>
            <w:hideMark/>
          </w:tcPr>
          <w:p w14:paraId="08C67B98" w14:textId="77777777" w:rsidR="00DE11D1" w:rsidRDefault="00DE11D1" w:rsidP="00A42FF4">
            <w:pPr>
              <w:jc w:val="center"/>
            </w:pPr>
            <w:r>
              <w:t>6,029,800</w:t>
            </w:r>
          </w:p>
        </w:tc>
        <w:tc>
          <w:tcPr>
            <w:tcW w:w="2614" w:type="dxa"/>
            <w:tcMar>
              <w:top w:w="0" w:type="dxa"/>
              <w:left w:w="108" w:type="dxa"/>
              <w:bottom w:w="0" w:type="dxa"/>
              <w:right w:w="108" w:type="dxa"/>
            </w:tcMar>
            <w:vAlign w:val="center"/>
            <w:hideMark/>
          </w:tcPr>
          <w:p w14:paraId="41803BAD" w14:textId="77777777" w:rsidR="00DE11D1" w:rsidRDefault="00DE11D1" w:rsidP="00A42FF4">
            <w:pPr>
              <w:jc w:val="center"/>
            </w:pPr>
            <w:r>
              <w:t>8,535,199</w:t>
            </w:r>
          </w:p>
        </w:tc>
        <w:tc>
          <w:tcPr>
            <w:tcW w:w="1706" w:type="dxa"/>
            <w:tcMar>
              <w:top w:w="0" w:type="dxa"/>
              <w:left w:w="108" w:type="dxa"/>
              <w:bottom w:w="0" w:type="dxa"/>
              <w:right w:w="108" w:type="dxa"/>
            </w:tcMar>
            <w:vAlign w:val="center"/>
            <w:hideMark/>
          </w:tcPr>
          <w:p w14:paraId="6F7E444C" w14:textId="77777777" w:rsidR="00DE11D1" w:rsidRDefault="00DE11D1" w:rsidP="00A42FF4">
            <w:pPr>
              <w:jc w:val="center"/>
            </w:pPr>
            <w:r>
              <w:t>20,594,799</w:t>
            </w:r>
          </w:p>
        </w:tc>
        <w:tc>
          <w:tcPr>
            <w:tcW w:w="1710" w:type="dxa"/>
            <w:tcMar>
              <w:top w:w="0" w:type="dxa"/>
              <w:left w:w="108" w:type="dxa"/>
              <w:bottom w:w="0" w:type="dxa"/>
              <w:right w:w="108" w:type="dxa"/>
            </w:tcMar>
            <w:vAlign w:val="center"/>
            <w:hideMark/>
          </w:tcPr>
          <w:p w14:paraId="5A0EF964" w14:textId="77777777" w:rsidR="00DE11D1" w:rsidRDefault="00DE11D1" w:rsidP="00A42FF4">
            <w:pPr>
              <w:jc w:val="center"/>
            </w:pPr>
            <w:r>
              <w:t>70.72</w:t>
            </w:r>
          </w:p>
        </w:tc>
      </w:tr>
      <w:tr w:rsidR="00DE11D1" w14:paraId="734419B8" w14:textId="77777777" w:rsidTr="006C3C0D">
        <w:trPr>
          <w:trHeight w:val="177"/>
        </w:trPr>
        <w:tc>
          <w:tcPr>
            <w:tcW w:w="980" w:type="dxa"/>
            <w:tcMar>
              <w:top w:w="0" w:type="dxa"/>
              <w:left w:w="108" w:type="dxa"/>
              <w:bottom w:w="0" w:type="dxa"/>
              <w:right w:w="108" w:type="dxa"/>
            </w:tcMar>
            <w:vAlign w:val="center"/>
            <w:hideMark/>
          </w:tcPr>
          <w:p w14:paraId="20C9BF73" w14:textId="77777777" w:rsidR="00DE11D1" w:rsidRDefault="00DE11D1" w:rsidP="00A42FF4">
            <w:pPr>
              <w:jc w:val="center"/>
              <w:rPr>
                <w:b/>
                <w:bCs/>
              </w:rPr>
            </w:pPr>
            <w:r>
              <w:rPr>
                <w:b/>
                <w:bCs/>
              </w:rPr>
              <w:t>2021</w:t>
            </w:r>
          </w:p>
        </w:tc>
        <w:tc>
          <w:tcPr>
            <w:tcW w:w="1288" w:type="dxa"/>
            <w:tcMar>
              <w:top w:w="0" w:type="dxa"/>
              <w:left w:w="108" w:type="dxa"/>
              <w:bottom w:w="0" w:type="dxa"/>
              <w:right w:w="108" w:type="dxa"/>
            </w:tcMar>
            <w:vAlign w:val="center"/>
            <w:hideMark/>
          </w:tcPr>
          <w:p w14:paraId="76C26A3A" w14:textId="77777777" w:rsidR="00DE11D1" w:rsidRDefault="00DE11D1" w:rsidP="00A42FF4">
            <w:pPr>
              <w:jc w:val="center"/>
            </w:pPr>
            <w:r>
              <w:t>5,900,200</w:t>
            </w:r>
          </w:p>
        </w:tc>
        <w:tc>
          <w:tcPr>
            <w:tcW w:w="1322" w:type="dxa"/>
            <w:tcMar>
              <w:top w:w="0" w:type="dxa"/>
              <w:left w:w="108" w:type="dxa"/>
              <w:bottom w:w="0" w:type="dxa"/>
              <w:right w:w="108" w:type="dxa"/>
            </w:tcMar>
            <w:vAlign w:val="center"/>
            <w:hideMark/>
          </w:tcPr>
          <w:p w14:paraId="1B722FE7" w14:textId="77777777" w:rsidR="00DE11D1" w:rsidRDefault="00DE11D1" w:rsidP="00A42FF4">
            <w:pPr>
              <w:jc w:val="center"/>
            </w:pPr>
            <w:r>
              <w:t>5,900,200</w:t>
            </w:r>
          </w:p>
        </w:tc>
        <w:tc>
          <w:tcPr>
            <w:tcW w:w="2614" w:type="dxa"/>
            <w:tcMar>
              <w:top w:w="0" w:type="dxa"/>
              <w:left w:w="108" w:type="dxa"/>
              <w:bottom w:w="0" w:type="dxa"/>
              <w:right w:w="108" w:type="dxa"/>
            </w:tcMar>
            <w:vAlign w:val="center"/>
            <w:hideMark/>
          </w:tcPr>
          <w:p w14:paraId="06A47C13" w14:textId="77777777" w:rsidR="00DE11D1" w:rsidRDefault="00DE11D1" w:rsidP="00A42FF4">
            <w:pPr>
              <w:jc w:val="center"/>
            </w:pPr>
            <w:r>
              <w:t>7,788,501</w:t>
            </w:r>
          </w:p>
        </w:tc>
        <w:tc>
          <w:tcPr>
            <w:tcW w:w="1706" w:type="dxa"/>
            <w:tcMar>
              <w:top w:w="0" w:type="dxa"/>
              <w:left w:w="108" w:type="dxa"/>
              <w:bottom w:w="0" w:type="dxa"/>
              <w:right w:w="108" w:type="dxa"/>
            </w:tcMar>
            <w:vAlign w:val="center"/>
            <w:hideMark/>
          </w:tcPr>
          <w:p w14:paraId="6F389F7E" w14:textId="77777777" w:rsidR="00DE11D1" w:rsidRDefault="00DE11D1" w:rsidP="00A42FF4">
            <w:pPr>
              <w:jc w:val="center"/>
            </w:pPr>
            <w:r>
              <w:t>19,588,901</w:t>
            </w:r>
          </w:p>
        </w:tc>
        <w:tc>
          <w:tcPr>
            <w:tcW w:w="1710" w:type="dxa"/>
            <w:tcMar>
              <w:top w:w="0" w:type="dxa"/>
              <w:left w:w="108" w:type="dxa"/>
              <w:bottom w:w="0" w:type="dxa"/>
              <w:right w:w="108" w:type="dxa"/>
            </w:tcMar>
            <w:vAlign w:val="center"/>
            <w:hideMark/>
          </w:tcPr>
          <w:p w14:paraId="6A4BA69F" w14:textId="77777777" w:rsidR="00DE11D1" w:rsidRDefault="00DE11D1" w:rsidP="00A42FF4">
            <w:pPr>
              <w:jc w:val="center"/>
            </w:pPr>
            <w:r>
              <w:t>69.88</w:t>
            </w:r>
          </w:p>
        </w:tc>
      </w:tr>
      <w:tr w:rsidR="00DE11D1" w14:paraId="13A4EC6D" w14:textId="77777777" w:rsidTr="006C3C0D">
        <w:trPr>
          <w:trHeight w:val="177"/>
        </w:trPr>
        <w:tc>
          <w:tcPr>
            <w:tcW w:w="980" w:type="dxa"/>
            <w:tcMar>
              <w:top w:w="0" w:type="dxa"/>
              <w:left w:w="108" w:type="dxa"/>
              <w:bottom w:w="0" w:type="dxa"/>
              <w:right w:w="108" w:type="dxa"/>
            </w:tcMar>
            <w:vAlign w:val="center"/>
            <w:hideMark/>
          </w:tcPr>
          <w:p w14:paraId="169BA0A2" w14:textId="77777777" w:rsidR="00DE11D1" w:rsidRDefault="00DE11D1" w:rsidP="00A42FF4">
            <w:pPr>
              <w:jc w:val="center"/>
              <w:rPr>
                <w:rFonts w:ascii="Calibri" w:hAnsi="Calibri" w:cs="Calibri"/>
                <w:b/>
                <w:bCs/>
              </w:rPr>
            </w:pPr>
            <w:r>
              <w:rPr>
                <w:b/>
                <w:bCs/>
              </w:rPr>
              <w:t>2020</w:t>
            </w:r>
          </w:p>
        </w:tc>
        <w:tc>
          <w:tcPr>
            <w:tcW w:w="1288" w:type="dxa"/>
            <w:tcMar>
              <w:top w:w="0" w:type="dxa"/>
              <w:left w:w="108" w:type="dxa"/>
              <w:bottom w:w="0" w:type="dxa"/>
              <w:right w:w="108" w:type="dxa"/>
            </w:tcMar>
            <w:vAlign w:val="center"/>
            <w:hideMark/>
          </w:tcPr>
          <w:p w14:paraId="6B6E12D5" w14:textId="77777777" w:rsidR="00DE11D1" w:rsidRDefault="00DE11D1" w:rsidP="00A42FF4">
            <w:pPr>
              <w:jc w:val="center"/>
              <w:rPr>
                <w:rFonts w:ascii="Calibri" w:hAnsi="Calibri" w:cs="Calibri"/>
              </w:rPr>
            </w:pPr>
            <w:r>
              <w:t>5,810,300</w:t>
            </w:r>
          </w:p>
        </w:tc>
        <w:tc>
          <w:tcPr>
            <w:tcW w:w="1322" w:type="dxa"/>
            <w:tcMar>
              <w:top w:w="0" w:type="dxa"/>
              <w:left w:w="108" w:type="dxa"/>
              <w:bottom w:w="0" w:type="dxa"/>
              <w:right w:w="108" w:type="dxa"/>
            </w:tcMar>
            <w:vAlign w:val="center"/>
            <w:hideMark/>
          </w:tcPr>
          <w:p w14:paraId="78D5671E" w14:textId="77777777" w:rsidR="00DE11D1" w:rsidRDefault="00DE11D1" w:rsidP="00A42FF4">
            <w:pPr>
              <w:jc w:val="center"/>
              <w:rPr>
                <w:rFonts w:ascii="Calibri" w:hAnsi="Calibri" w:cs="Calibri"/>
              </w:rPr>
            </w:pPr>
            <w:r>
              <w:t>5,810,300</w:t>
            </w:r>
          </w:p>
        </w:tc>
        <w:tc>
          <w:tcPr>
            <w:tcW w:w="2614" w:type="dxa"/>
            <w:tcMar>
              <w:top w:w="0" w:type="dxa"/>
              <w:left w:w="108" w:type="dxa"/>
              <w:bottom w:w="0" w:type="dxa"/>
              <w:right w:w="108" w:type="dxa"/>
            </w:tcMar>
            <w:vAlign w:val="center"/>
            <w:hideMark/>
          </w:tcPr>
          <w:p w14:paraId="2DE1DFE9" w14:textId="77777777" w:rsidR="00DE11D1" w:rsidRDefault="00DE11D1" w:rsidP="00A42FF4">
            <w:pPr>
              <w:jc w:val="center"/>
              <w:rPr>
                <w:rFonts w:ascii="Calibri" w:hAnsi="Calibri" w:cs="Calibri"/>
              </w:rPr>
            </w:pPr>
            <w:r>
              <w:t>7,782,005</w:t>
            </w:r>
          </w:p>
        </w:tc>
        <w:tc>
          <w:tcPr>
            <w:tcW w:w="1706" w:type="dxa"/>
            <w:tcMar>
              <w:top w:w="0" w:type="dxa"/>
              <w:left w:w="108" w:type="dxa"/>
              <w:bottom w:w="0" w:type="dxa"/>
              <w:right w:w="108" w:type="dxa"/>
            </w:tcMar>
            <w:vAlign w:val="center"/>
            <w:hideMark/>
          </w:tcPr>
          <w:p w14:paraId="4D57CAC8" w14:textId="77777777" w:rsidR="00DE11D1" w:rsidRDefault="00DE11D1" w:rsidP="00A42FF4">
            <w:pPr>
              <w:jc w:val="center"/>
              <w:rPr>
                <w:rFonts w:ascii="Calibri" w:hAnsi="Calibri" w:cs="Calibri"/>
              </w:rPr>
            </w:pPr>
            <w:r>
              <w:t>19,402,605</w:t>
            </w:r>
          </w:p>
        </w:tc>
        <w:tc>
          <w:tcPr>
            <w:tcW w:w="1710" w:type="dxa"/>
            <w:tcMar>
              <w:top w:w="0" w:type="dxa"/>
              <w:left w:w="108" w:type="dxa"/>
              <w:bottom w:w="0" w:type="dxa"/>
              <w:right w:w="108" w:type="dxa"/>
            </w:tcMar>
            <w:vAlign w:val="center"/>
            <w:hideMark/>
          </w:tcPr>
          <w:p w14:paraId="3C0B2C07" w14:textId="77777777" w:rsidR="00DE11D1" w:rsidRDefault="00DE11D1" w:rsidP="00A42FF4">
            <w:pPr>
              <w:jc w:val="center"/>
              <w:rPr>
                <w:rFonts w:ascii="Calibri" w:hAnsi="Calibri" w:cs="Calibri"/>
              </w:rPr>
            </w:pPr>
            <w:r>
              <w:t>70.05</w:t>
            </w:r>
          </w:p>
        </w:tc>
      </w:tr>
      <w:tr w:rsidR="00DE11D1" w14:paraId="73CDEB07" w14:textId="77777777" w:rsidTr="006C3C0D">
        <w:trPr>
          <w:trHeight w:val="177"/>
        </w:trPr>
        <w:tc>
          <w:tcPr>
            <w:tcW w:w="980" w:type="dxa"/>
            <w:tcMar>
              <w:top w:w="0" w:type="dxa"/>
              <w:left w:w="108" w:type="dxa"/>
              <w:bottom w:w="0" w:type="dxa"/>
              <w:right w:w="108" w:type="dxa"/>
            </w:tcMar>
            <w:vAlign w:val="center"/>
            <w:hideMark/>
          </w:tcPr>
          <w:p w14:paraId="390EC9F2" w14:textId="77777777" w:rsidR="00DE11D1" w:rsidRDefault="00DE11D1" w:rsidP="00A42FF4">
            <w:pPr>
              <w:jc w:val="center"/>
              <w:rPr>
                <w:rFonts w:ascii="Calibri" w:hAnsi="Calibri" w:cs="Calibri"/>
                <w:b/>
                <w:bCs/>
              </w:rPr>
            </w:pPr>
            <w:r>
              <w:rPr>
                <w:b/>
                <w:bCs/>
              </w:rPr>
              <w:t>2019</w:t>
            </w:r>
          </w:p>
        </w:tc>
        <w:tc>
          <w:tcPr>
            <w:tcW w:w="1288" w:type="dxa"/>
            <w:tcMar>
              <w:top w:w="0" w:type="dxa"/>
              <w:left w:w="108" w:type="dxa"/>
              <w:bottom w:w="0" w:type="dxa"/>
              <w:right w:w="108" w:type="dxa"/>
            </w:tcMar>
            <w:vAlign w:val="center"/>
            <w:hideMark/>
          </w:tcPr>
          <w:p w14:paraId="0766132C" w14:textId="77777777" w:rsidR="00DE11D1" w:rsidRDefault="00DE11D1" w:rsidP="00A42FF4">
            <w:pPr>
              <w:jc w:val="center"/>
              <w:rPr>
                <w:rFonts w:ascii="Calibri" w:hAnsi="Calibri" w:cs="Calibri"/>
              </w:rPr>
            </w:pPr>
            <w:r>
              <w:t>5,431,200</w:t>
            </w:r>
          </w:p>
        </w:tc>
        <w:tc>
          <w:tcPr>
            <w:tcW w:w="1322" w:type="dxa"/>
            <w:tcMar>
              <w:top w:w="0" w:type="dxa"/>
              <w:left w:w="108" w:type="dxa"/>
              <w:bottom w:w="0" w:type="dxa"/>
              <w:right w:w="108" w:type="dxa"/>
            </w:tcMar>
            <w:vAlign w:val="center"/>
            <w:hideMark/>
          </w:tcPr>
          <w:p w14:paraId="71FA32AF" w14:textId="77777777" w:rsidR="00DE11D1" w:rsidRDefault="00DE11D1" w:rsidP="00A42FF4">
            <w:pPr>
              <w:jc w:val="center"/>
              <w:rPr>
                <w:rFonts w:ascii="Calibri" w:hAnsi="Calibri" w:cs="Calibri"/>
              </w:rPr>
            </w:pPr>
            <w:r>
              <w:t>5,431,200</w:t>
            </w:r>
          </w:p>
        </w:tc>
        <w:tc>
          <w:tcPr>
            <w:tcW w:w="2614" w:type="dxa"/>
            <w:tcMar>
              <w:top w:w="0" w:type="dxa"/>
              <w:left w:w="108" w:type="dxa"/>
              <w:bottom w:w="0" w:type="dxa"/>
              <w:right w:w="108" w:type="dxa"/>
            </w:tcMar>
            <w:vAlign w:val="center"/>
            <w:hideMark/>
          </w:tcPr>
          <w:p w14:paraId="26774A27" w14:textId="77777777" w:rsidR="00DE11D1" w:rsidRDefault="00DE11D1" w:rsidP="00A42FF4">
            <w:pPr>
              <w:jc w:val="center"/>
              <w:rPr>
                <w:rFonts w:ascii="Calibri" w:hAnsi="Calibri" w:cs="Calibri"/>
              </w:rPr>
            </w:pPr>
            <w:r>
              <w:t>7,716,338</w:t>
            </w:r>
          </w:p>
        </w:tc>
        <w:tc>
          <w:tcPr>
            <w:tcW w:w="1706" w:type="dxa"/>
            <w:tcMar>
              <w:top w:w="0" w:type="dxa"/>
              <w:left w:w="108" w:type="dxa"/>
              <w:bottom w:w="0" w:type="dxa"/>
              <w:right w:w="108" w:type="dxa"/>
            </w:tcMar>
            <w:vAlign w:val="center"/>
            <w:hideMark/>
          </w:tcPr>
          <w:p w14:paraId="49648745" w14:textId="77777777" w:rsidR="00DE11D1" w:rsidRDefault="00DE11D1" w:rsidP="00A42FF4">
            <w:pPr>
              <w:jc w:val="center"/>
              <w:rPr>
                <w:rFonts w:ascii="Calibri" w:hAnsi="Calibri" w:cs="Calibri"/>
              </w:rPr>
            </w:pPr>
            <w:r>
              <w:t>18,578,738</w:t>
            </w:r>
          </w:p>
        </w:tc>
        <w:tc>
          <w:tcPr>
            <w:tcW w:w="1710" w:type="dxa"/>
            <w:tcMar>
              <w:top w:w="0" w:type="dxa"/>
              <w:left w:w="108" w:type="dxa"/>
              <w:bottom w:w="0" w:type="dxa"/>
              <w:right w:w="108" w:type="dxa"/>
            </w:tcMar>
            <w:vAlign w:val="center"/>
            <w:hideMark/>
          </w:tcPr>
          <w:p w14:paraId="30A63863" w14:textId="77777777" w:rsidR="00DE11D1" w:rsidRDefault="00DE11D1" w:rsidP="00A42FF4">
            <w:pPr>
              <w:jc w:val="center"/>
              <w:rPr>
                <w:rFonts w:ascii="Calibri" w:hAnsi="Calibri" w:cs="Calibri"/>
              </w:rPr>
            </w:pPr>
            <w:r>
              <w:t>71.33</w:t>
            </w:r>
          </w:p>
        </w:tc>
      </w:tr>
    </w:tbl>
    <w:p w14:paraId="53EE8577" w14:textId="77777777" w:rsidR="001E3D72" w:rsidRPr="001E3D72" w:rsidRDefault="001E3D72" w:rsidP="001E3D72">
      <w:pPr>
        <w:pStyle w:val="ListParagraph"/>
        <w:spacing w:after="0" w:line="240" w:lineRule="auto"/>
        <w:ind w:left="420"/>
      </w:pPr>
    </w:p>
    <w:p w14:paraId="76153678" w14:textId="4EA2BB0B" w:rsidR="00384419" w:rsidRDefault="009D79D6" w:rsidP="00705ED8">
      <w:pPr>
        <w:pStyle w:val="ListParagraph"/>
        <w:numPr>
          <w:ilvl w:val="0"/>
          <w:numId w:val="6"/>
        </w:numPr>
        <w:spacing w:after="0" w:line="240" w:lineRule="auto"/>
      </w:pPr>
      <w:r>
        <w:rPr>
          <w:rFonts w:ascii="Times New Roman" w:hAnsi="Times New Roman" w:cs="Times New Roman"/>
          <w:b/>
          <w:sz w:val="24"/>
          <w:szCs w:val="24"/>
        </w:rPr>
        <w:t>New Issues</w:t>
      </w:r>
    </w:p>
    <w:p w14:paraId="26D7809F" w14:textId="77777777" w:rsidR="00384419" w:rsidRDefault="00384419"/>
    <w:p w14:paraId="20A99EDF" w14:textId="77777777" w:rsidR="000E52DB" w:rsidRPr="008F7DF1" w:rsidRDefault="000E52DB" w:rsidP="00C95B09">
      <w:r w:rsidRPr="008F7DF1">
        <w:t xml:space="preserve">Session Law 2023-134 (2023 Appropriations Act) included several budgetary and policy changes of significance to the OSH Division. </w:t>
      </w:r>
    </w:p>
    <w:p w14:paraId="739DC7BB" w14:textId="77777777" w:rsidR="000E52DB" w:rsidRPr="008F7DF1" w:rsidRDefault="000E52DB" w:rsidP="00C95B09">
      <w:pPr>
        <w:jc w:val="both"/>
      </w:pPr>
    </w:p>
    <w:p w14:paraId="2B4CE658" w14:textId="77777777" w:rsidR="008F7DF1" w:rsidRDefault="000E52DB" w:rsidP="00705ED8">
      <w:pPr>
        <w:pStyle w:val="ListParagraph"/>
        <w:numPr>
          <w:ilvl w:val="0"/>
          <w:numId w:val="12"/>
        </w:numPr>
        <w:spacing w:line="240" w:lineRule="auto"/>
        <w:jc w:val="both"/>
        <w:rPr>
          <w:rFonts w:ascii="Times New Roman" w:hAnsi="Times New Roman" w:cs="Times New Roman"/>
          <w:sz w:val="24"/>
          <w:szCs w:val="24"/>
        </w:rPr>
      </w:pPr>
      <w:r w:rsidRPr="008F7DF1">
        <w:rPr>
          <w:rFonts w:ascii="Times New Roman" w:hAnsi="Times New Roman" w:cs="Times New Roman"/>
          <w:sz w:val="24"/>
          <w:szCs w:val="24"/>
        </w:rPr>
        <w:t xml:space="preserve">The biennial budget provided for a 4% salary increase for state employees, effective July 1, 2023. The budget also includes an additional 3% increase for state employees which will become effective July 1, 2024. The OSH Division, especially the Compliance Bureau, has struggled to recruit and retain qualified safety and health professionals, partly due to salaries which are not commensurate with similar jobs in the private sector and in other government agencies. While the legislative salary increase is helpful, the department continues to seek opportunities to significantly increase salaries in order to become more competitive in the job market. </w:t>
      </w:r>
    </w:p>
    <w:p w14:paraId="1398D25D" w14:textId="77777777" w:rsidR="00C95B09" w:rsidRPr="008F7DF1" w:rsidRDefault="00C95B09" w:rsidP="00C95B09">
      <w:pPr>
        <w:pStyle w:val="ListParagraph"/>
        <w:spacing w:line="240" w:lineRule="auto"/>
        <w:jc w:val="both"/>
        <w:rPr>
          <w:rFonts w:ascii="Times New Roman" w:hAnsi="Times New Roman" w:cs="Times New Roman"/>
          <w:sz w:val="24"/>
          <w:szCs w:val="24"/>
        </w:rPr>
      </w:pPr>
    </w:p>
    <w:p w14:paraId="3192B9C6" w14:textId="417E9D67" w:rsidR="008F7DF1" w:rsidRPr="008F7DF1" w:rsidRDefault="000E52DB" w:rsidP="00705ED8">
      <w:pPr>
        <w:pStyle w:val="ListParagraph"/>
        <w:numPr>
          <w:ilvl w:val="0"/>
          <w:numId w:val="12"/>
        </w:numPr>
        <w:spacing w:line="240" w:lineRule="auto"/>
        <w:jc w:val="both"/>
        <w:rPr>
          <w:rFonts w:ascii="Times New Roman" w:hAnsi="Times New Roman" w:cs="Times New Roman"/>
          <w:sz w:val="24"/>
          <w:szCs w:val="24"/>
        </w:rPr>
      </w:pPr>
      <w:r w:rsidRPr="008F7DF1">
        <w:rPr>
          <w:rFonts w:ascii="Times New Roman" w:hAnsi="Times New Roman" w:cs="Times New Roman"/>
          <w:sz w:val="24"/>
          <w:szCs w:val="24"/>
        </w:rPr>
        <w:t xml:space="preserve">The budget eliminated the OSH Division’s long-established authority to adopt verbatim all changes to the federal OSHA standards. By eliminating N.C.G.S. 150B-21.5(c), the OSH Division is now required to adopt all rule changes by using the standard rulemaking process. The OSH Division was not consulted about this provision </w:t>
      </w:r>
      <w:r w:rsidRPr="00A84949">
        <w:rPr>
          <w:rFonts w:ascii="Times New Roman" w:hAnsi="Times New Roman" w:cs="Times New Roman"/>
          <w:sz w:val="24"/>
          <w:szCs w:val="24"/>
        </w:rPr>
        <w:t xml:space="preserve">in the budget and had no advance knowledge that it would be included. This policy change will likely impact the OSH Division’s ability to adopt federal rule changes within the required six-month </w:t>
      </w:r>
      <w:r w:rsidR="00C854A6" w:rsidRPr="00A84949">
        <w:rPr>
          <w:rFonts w:ascii="Times New Roman" w:hAnsi="Times New Roman" w:cs="Times New Roman"/>
          <w:sz w:val="24"/>
          <w:szCs w:val="24"/>
        </w:rPr>
        <w:t>time frame. T</w:t>
      </w:r>
      <w:r w:rsidRPr="00A84949">
        <w:rPr>
          <w:rFonts w:ascii="Times New Roman" w:hAnsi="Times New Roman" w:cs="Times New Roman"/>
          <w:sz w:val="24"/>
          <w:szCs w:val="24"/>
        </w:rPr>
        <w:t>ypical rulemaking can last anywhere from six months to several years, depending on the complexity of the change and the level of public input and/or opposition. The department is working with the legislature to educate members</w:t>
      </w:r>
      <w:r w:rsidRPr="008F7DF1">
        <w:rPr>
          <w:rFonts w:ascii="Times New Roman" w:hAnsi="Times New Roman" w:cs="Times New Roman"/>
          <w:sz w:val="24"/>
          <w:szCs w:val="24"/>
        </w:rPr>
        <w:t xml:space="preserve"> on the negative impact of this change and to come up with a possible compromise adjustment in the 2024 legislative session.</w:t>
      </w:r>
    </w:p>
    <w:p w14:paraId="4BEE95A8" w14:textId="77777777" w:rsidR="00C95B09" w:rsidRPr="00C95B09" w:rsidRDefault="00C95B09" w:rsidP="00C95B09">
      <w:pPr>
        <w:pStyle w:val="ListParagraph"/>
        <w:spacing w:line="240" w:lineRule="auto"/>
        <w:jc w:val="both"/>
      </w:pPr>
    </w:p>
    <w:p w14:paraId="56185182" w14:textId="7BD8409D" w:rsidR="000E52DB" w:rsidRPr="008F7DF1" w:rsidRDefault="000E52DB" w:rsidP="00705ED8">
      <w:pPr>
        <w:pStyle w:val="ListParagraph"/>
        <w:numPr>
          <w:ilvl w:val="0"/>
          <w:numId w:val="12"/>
        </w:numPr>
        <w:spacing w:line="240" w:lineRule="auto"/>
        <w:jc w:val="both"/>
      </w:pPr>
      <w:r w:rsidRPr="008F7DF1">
        <w:rPr>
          <w:rFonts w:ascii="Times New Roman" w:hAnsi="Times New Roman" w:cs="Times New Roman"/>
          <w:sz w:val="24"/>
          <w:szCs w:val="24"/>
        </w:rPr>
        <w:t>The budget amended a portion of the OSH Act regarding the time frame by which the OSH Division must issue citations. Last year’s appropriations act amended this section by allowing OSH to issue citations up to six months following the “initiation of inspection,” and that change became effective October 1, 2022. This year’s budget again changes the language to provide that OSH must issue citations within six months following the “occurrence of any violation.” This new change became effective October 1, 2023. The department was also not consulted prior to this provision appearing in the budget</w:t>
      </w:r>
      <w:r w:rsidR="00C968E8">
        <w:rPr>
          <w:rFonts w:ascii="Times New Roman" w:hAnsi="Times New Roman" w:cs="Times New Roman"/>
          <w:sz w:val="24"/>
          <w:szCs w:val="24"/>
        </w:rPr>
        <w:t>,</w:t>
      </w:r>
      <w:r w:rsidRPr="008F7DF1">
        <w:rPr>
          <w:rFonts w:ascii="Times New Roman" w:hAnsi="Times New Roman" w:cs="Times New Roman"/>
          <w:sz w:val="24"/>
          <w:szCs w:val="24"/>
        </w:rPr>
        <w:t xml:space="preserve"> and creates challenges for the OSH Division to be able to issue citations within six months</w:t>
      </w:r>
      <w:r w:rsidR="00C968E8">
        <w:rPr>
          <w:rFonts w:ascii="Times New Roman" w:hAnsi="Times New Roman" w:cs="Times New Roman"/>
          <w:sz w:val="24"/>
          <w:szCs w:val="24"/>
        </w:rPr>
        <w:t>,</w:t>
      </w:r>
      <w:r w:rsidRPr="008F7DF1">
        <w:rPr>
          <w:rFonts w:ascii="Times New Roman" w:hAnsi="Times New Roman" w:cs="Times New Roman"/>
          <w:sz w:val="24"/>
          <w:szCs w:val="24"/>
        </w:rPr>
        <w:t xml:space="preserve"> when we are notified of fatalities and/or serious accidents well past the accident date (date of the violation).</w:t>
      </w:r>
      <w:r w:rsidRPr="008F7DF1">
        <w:t xml:space="preserve">  </w:t>
      </w:r>
    </w:p>
    <w:p w14:paraId="70F33C4B" w14:textId="77777777" w:rsidR="00384419" w:rsidRDefault="009D79D6">
      <w:pPr>
        <w:widowControl/>
        <w:autoSpaceDE/>
        <w:autoSpaceDN/>
        <w:adjustRightInd/>
        <w:spacing w:after="200"/>
        <w:rPr>
          <w:color w:val="4F81BD" w:themeColor="accent1"/>
          <w:sz w:val="32"/>
          <w:szCs w:val="32"/>
        </w:rPr>
      </w:pPr>
      <w:r>
        <w:rPr>
          <w:b/>
          <w:color w:val="4F81BD" w:themeColor="accent1"/>
          <w:sz w:val="32"/>
          <w:szCs w:val="32"/>
        </w:rPr>
        <w:t>III.   Assessment of State Plan Progress and Performance</w:t>
      </w:r>
    </w:p>
    <w:p w14:paraId="3E5CEDCD" w14:textId="77777777" w:rsidR="00384419" w:rsidRDefault="009D79D6" w:rsidP="00705ED8">
      <w:pPr>
        <w:pStyle w:val="ListParagraph"/>
        <w:numPr>
          <w:ilvl w:val="0"/>
          <w:numId w:val="5"/>
        </w:numPr>
        <w:ind w:left="360"/>
        <w:rPr>
          <w:b/>
        </w:rPr>
      </w:pPr>
      <w:r>
        <w:rPr>
          <w:rFonts w:ascii="Times New Roman" w:hAnsi="Times New Roman" w:cs="Times New Roman"/>
          <w:b/>
          <w:sz w:val="24"/>
          <w:szCs w:val="24"/>
        </w:rPr>
        <w:t>Data and Methodology</w:t>
      </w:r>
    </w:p>
    <w:p w14:paraId="0E1BA253" w14:textId="64A58088" w:rsidR="00384419" w:rsidRPr="00EC38FD" w:rsidRDefault="009D79D6">
      <w:pPr>
        <w:widowControl/>
        <w:autoSpaceDE/>
        <w:autoSpaceDN/>
        <w:adjustRightInd/>
        <w:jc w:val="both"/>
        <w:rPr>
          <w:bCs/>
        </w:rPr>
      </w:pPr>
      <w:r w:rsidRPr="00C95B09">
        <w:rPr>
          <w:bCs/>
        </w:rPr>
        <w:t xml:space="preserve">OSHA established a two-year cycle for the FAME process.  </w:t>
      </w:r>
      <w:r w:rsidR="00C510E1" w:rsidRPr="00C95B09">
        <w:rPr>
          <w:bCs/>
        </w:rPr>
        <w:t>FY 2023</w:t>
      </w:r>
      <w:r w:rsidRPr="00C95B09">
        <w:rPr>
          <w:bCs/>
        </w:rPr>
        <w:t xml:space="preserve"> is a comprehensive year and as such, OSHA was required to conduct an on-site evaluation and case file review.  A </w:t>
      </w:r>
      <w:r w:rsidR="008F7DF1" w:rsidRPr="00C95B09">
        <w:rPr>
          <w:bCs/>
        </w:rPr>
        <w:t>seven</w:t>
      </w:r>
      <w:r w:rsidRPr="00C95B09">
        <w:rPr>
          <w:bCs/>
        </w:rPr>
        <w:t xml:space="preserve">-person OSHA team, which included a whistleblower investigator, was assembled to conduct a full on-site case file review. The case file review was conducted at the North Carolina State Plan office during the timeframe of December </w:t>
      </w:r>
      <w:r w:rsidR="008F7DF1" w:rsidRPr="00C95B09">
        <w:rPr>
          <w:bCs/>
        </w:rPr>
        <w:t>4</w:t>
      </w:r>
      <w:r w:rsidRPr="00C95B09">
        <w:rPr>
          <w:bCs/>
        </w:rPr>
        <w:t>-</w:t>
      </w:r>
      <w:r w:rsidR="008F7DF1" w:rsidRPr="00C95B09">
        <w:rPr>
          <w:bCs/>
        </w:rPr>
        <w:t>8</w:t>
      </w:r>
      <w:r w:rsidRPr="00C95B09">
        <w:rPr>
          <w:bCs/>
        </w:rPr>
        <w:t>, 202</w:t>
      </w:r>
      <w:r w:rsidR="008F7DF1" w:rsidRPr="00C95B09">
        <w:rPr>
          <w:bCs/>
        </w:rPr>
        <w:t>3</w:t>
      </w:r>
      <w:r w:rsidRPr="00C95B09">
        <w:rPr>
          <w:bCs/>
        </w:rPr>
        <w:t xml:space="preserve">.  </w:t>
      </w:r>
      <w:r w:rsidRPr="00EC38FD">
        <w:rPr>
          <w:bCs/>
        </w:rPr>
        <w:t xml:space="preserve">A total of </w:t>
      </w:r>
      <w:r w:rsidR="002B0C9A">
        <w:rPr>
          <w:bCs/>
        </w:rPr>
        <w:t>149</w:t>
      </w:r>
      <w:r w:rsidRPr="00EC38FD">
        <w:rPr>
          <w:bCs/>
        </w:rPr>
        <w:t xml:space="preserve"> safety, health, and whistleblower inspection case files were reviewed.  The safety and health inspection files were randomly selected from closed inspections conducted during the evaluation period (Oct 1, 202</w:t>
      </w:r>
      <w:r w:rsidR="008F7DF1" w:rsidRPr="00EC38FD">
        <w:rPr>
          <w:bCs/>
        </w:rPr>
        <w:t>2</w:t>
      </w:r>
      <w:r w:rsidRPr="00EC38FD">
        <w:rPr>
          <w:bCs/>
        </w:rPr>
        <w:t>, through September 30, 202</w:t>
      </w:r>
      <w:r w:rsidR="008F7DF1" w:rsidRPr="00EC38FD">
        <w:rPr>
          <w:bCs/>
        </w:rPr>
        <w:t>3</w:t>
      </w:r>
      <w:r w:rsidR="00B77F42">
        <w:rPr>
          <w:bCs/>
        </w:rPr>
        <w:t>)</w:t>
      </w:r>
      <w:r w:rsidRPr="00EC38FD">
        <w:rPr>
          <w:bCs/>
        </w:rPr>
        <w:t>.  The selected population included:</w:t>
      </w:r>
    </w:p>
    <w:p w14:paraId="552EFD41" w14:textId="77777777" w:rsidR="00384419" w:rsidRPr="00EC38FD" w:rsidRDefault="00384419">
      <w:pPr>
        <w:widowControl/>
        <w:autoSpaceDE/>
        <w:autoSpaceDN/>
        <w:adjustRightInd/>
        <w:jc w:val="both"/>
        <w:rPr>
          <w:bCs/>
        </w:rPr>
      </w:pPr>
    </w:p>
    <w:p w14:paraId="06B67BD0" w14:textId="77777777" w:rsidR="00384419" w:rsidRPr="00EC38FD" w:rsidRDefault="009D79D6" w:rsidP="00705ED8">
      <w:pPr>
        <w:pStyle w:val="ListParagraph"/>
        <w:numPr>
          <w:ilvl w:val="0"/>
          <w:numId w:val="8"/>
        </w:numPr>
        <w:rPr>
          <w:bCs/>
        </w:rPr>
      </w:pPr>
      <w:r w:rsidRPr="00EC38FD">
        <w:rPr>
          <w:rFonts w:ascii="Times New Roman" w:hAnsi="Times New Roman" w:cs="Times New Roman"/>
          <w:bCs/>
          <w:sz w:val="24"/>
          <w:szCs w:val="24"/>
        </w:rPr>
        <w:t>Twenty (20) fatality case files</w:t>
      </w:r>
    </w:p>
    <w:p w14:paraId="3D7366BB" w14:textId="58E0DCC3" w:rsidR="00384419" w:rsidRPr="006F1C04" w:rsidRDefault="009D79D6" w:rsidP="00705ED8">
      <w:pPr>
        <w:pStyle w:val="ListParagraph"/>
        <w:numPr>
          <w:ilvl w:val="0"/>
          <w:numId w:val="8"/>
        </w:numPr>
        <w:rPr>
          <w:bCs/>
        </w:rPr>
      </w:pPr>
      <w:r w:rsidRPr="00EC38FD">
        <w:rPr>
          <w:rFonts w:ascii="Times New Roman" w:hAnsi="Times New Roman" w:cs="Times New Roman"/>
          <w:bCs/>
          <w:sz w:val="24"/>
          <w:szCs w:val="24"/>
        </w:rPr>
        <w:t>Twenty-</w:t>
      </w:r>
      <w:r w:rsidR="00EC38FD" w:rsidRPr="00EC38FD">
        <w:rPr>
          <w:rFonts w:ascii="Times New Roman" w:hAnsi="Times New Roman" w:cs="Times New Roman"/>
          <w:bCs/>
          <w:sz w:val="24"/>
          <w:szCs w:val="24"/>
        </w:rPr>
        <w:t>o</w:t>
      </w:r>
      <w:r w:rsidR="00EC38FD" w:rsidRPr="006F1C04">
        <w:rPr>
          <w:rFonts w:ascii="Times New Roman" w:hAnsi="Times New Roman" w:cs="Times New Roman"/>
          <w:bCs/>
          <w:sz w:val="24"/>
          <w:szCs w:val="24"/>
        </w:rPr>
        <w:t>ne</w:t>
      </w:r>
      <w:r w:rsidRPr="006F1C04">
        <w:rPr>
          <w:rFonts w:ascii="Times New Roman" w:hAnsi="Times New Roman" w:cs="Times New Roman"/>
          <w:bCs/>
          <w:sz w:val="24"/>
          <w:szCs w:val="24"/>
        </w:rPr>
        <w:t xml:space="preserve"> (2</w:t>
      </w:r>
      <w:r w:rsidR="00EC38FD" w:rsidRPr="006F1C04">
        <w:rPr>
          <w:rFonts w:ascii="Times New Roman" w:hAnsi="Times New Roman" w:cs="Times New Roman"/>
          <w:bCs/>
          <w:sz w:val="24"/>
          <w:szCs w:val="24"/>
        </w:rPr>
        <w:t>1</w:t>
      </w:r>
      <w:r w:rsidRPr="006F1C04">
        <w:rPr>
          <w:rFonts w:ascii="Times New Roman" w:hAnsi="Times New Roman" w:cs="Times New Roman"/>
          <w:bCs/>
          <w:sz w:val="24"/>
          <w:szCs w:val="24"/>
        </w:rPr>
        <w:t>) complaint and referral investigation files</w:t>
      </w:r>
    </w:p>
    <w:p w14:paraId="0F38F14C" w14:textId="05D8EF8A" w:rsidR="00384419" w:rsidRPr="006F1C04" w:rsidRDefault="006F1C04" w:rsidP="00705ED8">
      <w:pPr>
        <w:pStyle w:val="ListParagraph"/>
        <w:numPr>
          <w:ilvl w:val="0"/>
          <w:numId w:val="8"/>
        </w:numPr>
        <w:rPr>
          <w:bCs/>
        </w:rPr>
      </w:pPr>
      <w:r w:rsidRPr="006F1C04">
        <w:rPr>
          <w:rFonts w:ascii="Times New Roman" w:hAnsi="Times New Roman" w:cs="Times New Roman"/>
          <w:bCs/>
          <w:sz w:val="24"/>
          <w:szCs w:val="24"/>
        </w:rPr>
        <w:lastRenderedPageBreak/>
        <w:t>Eighty</w:t>
      </w:r>
      <w:r w:rsidR="009D79D6" w:rsidRPr="006F1C04">
        <w:rPr>
          <w:rFonts w:ascii="Times New Roman" w:hAnsi="Times New Roman" w:cs="Times New Roman"/>
          <w:bCs/>
          <w:sz w:val="24"/>
          <w:szCs w:val="24"/>
        </w:rPr>
        <w:t xml:space="preserve"> (</w:t>
      </w:r>
      <w:r w:rsidRPr="006F1C04">
        <w:rPr>
          <w:rFonts w:ascii="Times New Roman" w:hAnsi="Times New Roman" w:cs="Times New Roman"/>
          <w:bCs/>
          <w:sz w:val="24"/>
          <w:szCs w:val="24"/>
        </w:rPr>
        <w:t>8</w:t>
      </w:r>
      <w:r w:rsidR="009D79D6" w:rsidRPr="006F1C04">
        <w:rPr>
          <w:rFonts w:ascii="Times New Roman" w:hAnsi="Times New Roman" w:cs="Times New Roman"/>
          <w:bCs/>
          <w:sz w:val="24"/>
          <w:szCs w:val="24"/>
        </w:rPr>
        <w:t>0) Construction/General Industry safety and health case files</w:t>
      </w:r>
    </w:p>
    <w:p w14:paraId="4596591D" w14:textId="46ECC699" w:rsidR="005716B7" w:rsidRPr="005716B7" w:rsidRDefault="005716B7" w:rsidP="00705ED8">
      <w:pPr>
        <w:pStyle w:val="ListParagraph"/>
        <w:numPr>
          <w:ilvl w:val="0"/>
          <w:numId w:val="8"/>
        </w:numPr>
        <w:rPr>
          <w:bCs/>
        </w:rPr>
      </w:pPr>
      <w:r w:rsidRPr="006F1C04">
        <w:rPr>
          <w:rFonts w:ascii="Times New Roman" w:hAnsi="Times New Roman" w:cs="Times New Roman"/>
          <w:bCs/>
          <w:sz w:val="24"/>
          <w:szCs w:val="24"/>
        </w:rPr>
        <w:t>Six (6) A</w:t>
      </w:r>
      <w:r>
        <w:rPr>
          <w:rFonts w:ascii="Times New Roman" w:hAnsi="Times New Roman" w:cs="Times New Roman"/>
          <w:bCs/>
          <w:sz w:val="24"/>
          <w:szCs w:val="24"/>
        </w:rPr>
        <w:t>griculture Safety and Health case</w:t>
      </w:r>
      <w:r w:rsidRPr="00EC38FD">
        <w:rPr>
          <w:rFonts w:ascii="Times New Roman" w:hAnsi="Times New Roman" w:cs="Times New Roman"/>
          <w:bCs/>
          <w:sz w:val="24"/>
          <w:szCs w:val="24"/>
        </w:rPr>
        <w:t xml:space="preserve"> files </w:t>
      </w:r>
    </w:p>
    <w:p w14:paraId="168DB087" w14:textId="77777777" w:rsidR="00384419" w:rsidRPr="00EC38FD" w:rsidRDefault="009D79D6" w:rsidP="00705ED8">
      <w:pPr>
        <w:pStyle w:val="ListParagraph"/>
        <w:numPr>
          <w:ilvl w:val="0"/>
          <w:numId w:val="8"/>
        </w:numPr>
        <w:rPr>
          <w:bCs/>
        </w:rPr>
      </w:pPr>
      <w:r w:rsidRPr="00EC38FD">
        <w:rPr>
          <w:rFonts w:ascii="Times New Roman" w:hAnsi="Times New Roman" w:cs="Times New Roman"/>
          <w:bCs/>
          <w:sz w:val="24"/>
          <w:szCs w:val="24"/>
        </w:rPr>
        <w:t>Fifteen (15) closed whistleblower case files</w:t>
      </w:r>
    </w:p>
    <w:p w14:paraId="54B9DC32" w14:textId="4763F6F1" w:rsidR="00384419" w:rsidRPr="00EC38FD" w:rsidRDefault="00EC38FD" w:rsidP="00705ED8">
      <w:pPr>
        <w:pStyle w:val="ListParagraph"/>
        <w:numPr>
          <w:ilvl w:val="0"/>
          <w:numId w:val="8"/>
        </w:numPr>
        <w:rPr>
          <w:bCs/>
        </w:rPr>
      </w:pPr>
      <w:r w:rsidRPr="00EC38FD">
        <w:rPr>
          <w:rFonts w:ascii="Times New Roman" w:hAnsi="Times New Roman" w:cs="Times New Roman"/>
          <w:bCs/>
          <w:sz w:val="24"/>
          <w:szCs w:val="24"/>
        </w:rPr>
        <w:t>Seven</w:t>
      </w:r>
      <w:r w:rsidR="009D79D6" w:rsidRPr="00EC38FD">
        <w:rPr>
          <w:rFonts w:ascii="Times New Roman" w:hAnsi="Times New Roman" w:cs="Times New Roman"/>
          <w:bCs/>
          <w:sz w:val="24"/>
          <w:szCs w:val="24"/>
        </w:rPr>
        <w:t xml:space="preserve"> (</w:t>
      </w:r>
      <w:r w:rsidRPr="00EC38FD">
        <w:rPr>
          <w:rFonts w:ascii="Times New Roman" w:hAnsi="Times New Roman" w:cs="Times New Roman"/>
          <w:bCs/>
          <w:sz w:val="24"/>
          <w:szCs w:val="24"/>
        </w:rPr>
        <w:t>7</w:t>
      </w:r>
      <w:r w:rsidR="009D79D6" w:rsidRPr="00EC38FD">
        <w:rPr>
          <w:rFonts w:ascii="Times New Roman" w:hAnsi="Times New Roman" w:cs="Times New Roman"/>
          <w:bCs/>
          <w:sz w:val="24"/>
          <w:szCs w:val="24"/>
        </w:rPr>
        <w:t xml:space="preserve">) Public Sector Consultation files </w:t>
      </w:r>
    </w:p>
    <w:p w14:paraId="794149FF" w14:textId="77777777" w:rsidR="00384419" w:rsidRDefault="009D79D6">
      <w:pPr>
        <w:widowControl/>
        <w:autoSpaceDE/>
        <w:autoSpaceDN/>
        <w:adjustRightInd/>
        <w:rPr>
          <w:bCs/>
        </w:rPr>
      </w:pPr>
      <w:r w:rsidRPr="00EC38FD">
        <w:rPr>
          <w:bCs/>
        </w:rPr>
        <w:t>The anal</w:t>
      </w:r>
      <w:r>
        <w:rPr>
          <w:bCs/>
        </w:rPr>
        <w:t>yses and conclusions described in this report are based on information obtained from a variety of monitoring sources, including the:</w:t>
      </w:r>
    </w:p>
    <w:p w14:paraId="58C0A1B0" w14:textId="77777777" w:rsidR="00384419" w:rsidRDefault="00384419">
      <w:pPr>
        <w:widowControl/>
        <w:autoSpaceDE/>
        <w:autoSpaceDN/>
        <w:adjustRightInd/>
        <w:rPr>
          <w:bCs/>
        </w:rPr>
      </w:pPr>
    </w:p>
    <w:p w14:paraId="7107C60F" w14:textId="77777777" w:rsidR="00384419" w:rsidRDefault="009D79D6" w:rsidP="00705ED8">
      <w:pPr>
        <w:pStyle w:val="ListParagraph"/>
        <w:numPr>
          <w:ilvl w:val="0"/>
          <w:numId w:val="7"/>
        </w:numPr>
        <w:ind w:left="900"/>
        <w:rPr>
          <w:rFonts w:ascii="Times New Roman" w:hAnsi="Times New Roman" w:cs="Times New Roman"/>
          <w:bCs/>
          <w:sz w:val="24"/>
          <w:szCs w:val="24"/>
        </w:rPr>
      </w:pPr>
      <w:r>
        <w:rPr>
          <w:rFonts w:ascii="Times New Roman" w:hAnsi="Times New Roman" w:cs="Times New Roman"/>
          <w:bCs/>
          <w:sz w:val="24"/>
          <w:szCs w:val="24"/>
        </w:rPr>
        <w:t>State Activity Mandated Measures Report (Appendix D)</w:t>
      </w:r>
    </w:p>
    <w:p w14:paraId="52462795" w14:textId="77777777" w:rsidR="00384419" w:rsidRDefault="009D79D6" w:rsidP="00705ED8">
      <w:pPr>
        <w:pStyle w:val="ListParagraph"/>
        <w:numPr>
          <w:ilvl w:val="0"/>
          <w:numId w:val="7"/>
        </w:numPr>
        <w:ind w:left="900"/>
        <w:rPr>
          <w:rFonts w:ascii="Times New Roman" w:hAnsi="Times New Roman" w:cs="Times New Roman"/>
          <w:sz w:val="24"/>
          <w:szCs w:val="24"/>
        </w:rPr>
      </w:pPr>
      <w:r>
        <w:rPr>
          <w:rFonts w:ascii="Times New Roman" w:hAnsi="Times New Roman" w:cs="Times New Roman"/>
          <w:sz w:val="24"/>
          <w:szCs w:val="24"/>
        </w:rPr>
        <w:t xml:space="preserve">State Information Report </w:t>
      </w:r>
    </w:p>
    <w:p w14:paraId="68695BF7" w14:textId="77777777" w:rsidR="00384419" w:rsidRDefault="009D79D6" w:rsidP="00705ED8">
      <w:pPr>
        <w:pStyle w:val="ListParagraph"/>
        <w:numPr>
          <w:ilvl w:val="0"/>
          <w:numId w:val="7"/>
        </w:numPr>
        <w:ind w:left="900"/>
        <w:rPr>
          <w:rFonts w:ascii="Times New Roman" w:hAnsi="Times New Roman" w:cs="Times New Roman"/>
          <w:bCs/>
          <w:sz w:val="24"/>
          <w:szCs w:val="24"/>
        </w:rPr>
      </w:pPr>
      <w:r>
        <w:rPr>
          <w:rFonts w:ascii="Times New Roman" w:hAnsi="Times New Roman" w:cs="Times New Roman"/>
          <w:bCs/>
          <w:sz w:val="24"/>
          <w:szCs w:val="24"/>
        </w:rPr>
        <w:t xml:space="preserve">Mandated Activities Report for Consultation </w:t>
      </w:r>
    </w:p>
    <w:p w14:paraId="0B430B39" w14:textId="77777777" w:rsidR="00384419" w:rsidRDefault="009D79D6" w:rsidP="00705ED8">
      <w:pPr>
        <w:pStyle w:val="ListParagraph"/>
        <w:numPr>
          <w:ilvl w:val="0"/>
          <w:numId w:val="7"/>
        </w:numPr>
        <w:ind w:left="900"/>
        <w:rPr>
          <w:rFonts w:ascii="Times New Roman" w:hAnsi="Times New Roman" w:cs="Times New Roman"/>
          <w:bCs/>
          <w:sz w:val="24"/>
          <w:szCs w:val="24"/>
        </w:rPr>
      </w:pPr>
      <w:r>
        <w:rPr>
          <w:rFonts w:ascii="Times New Roman" w:hAnsi="Times New Roman" w:cs="Times New Roman"/>
          <w:bCs/>
          <w:sz w:val="24"/>
          <w:szCs w:val="24"/>
        </w:rPr>
        <w:t>State Plan Annual Performance Plan</w:t>
      </w:r>
    </w:p>
    <w:p w14:paraId="2612408E" w14:textId="77777777" w:rsidR="00384419" w:rsidRDefault="009D79D6" w:rsidP="00705ED8">
      <w:pPr>
        <w:pStyle w:val="ListParagraph"/>
        <w:numPr>
          <w:ilvl w:val="0"/>
          <w:numId w:val="7"/>
        </w:numPr>
        <w:ind w:left="900"/>
        <w:rPr>
          <w:rFonts w:ascii="Times New Roman" w:hAnsi="Times New Roman" w:cs="Times New Roman"/>
          <w:bCs/>
          <w:sz w:val="24"/>
          <w:szCs w:val="24"/>
        </w:rPr>
      </w:pPr>
      <w:r>
        <w:rPr>
          <w:rFonts w:ascii="Times New Roman" w:hAnsi="Times New Roman" w:cs="Times New Roman"/>
          <w:bCs/>
          <w:sz w:val="24"/>
          <w:szCs w:val="24"/>
        </w:rPr>
        <w:t xml:space="preserve">State Plan Grant Application </w:t>
      </w:r>
    </w:p>
    <w:p w14:paraId="25435FEE" w14:textId="77777777" w:rsidR="00384419" w:rsidRDefault="009D79D6" w:rsidP="00705ED8">
      <w:pPr>
        <w:pStyle w:val="ListParagraph"/>
        <w:numPr>
          <w:ilvl w:val="0"/>
          <w:numId w:val="7"/>
        </w:numPr>
        <w:ind w:left="900"/>
        <w:rPr>
          <w:rFonts w:ascii="Times New Roman" w:hAnsi="Times New Roman" w:cs="Times New Roman"/>
          <w:bCs/>
          <w:sz w:val="24"/>
          <w:szCs w:val="24"/>
        </w:rPr>
      </w:pPr>
      <w:r>
        <w:rPr>
          <w:rFonts w:ascii="Times New Roman" w:hAnsi="Times New Roman" w:cs="Times New Roman"/>
          <w:bCs/>
          <w:sz w:val="24"/>
          <w:szCs w:val="24"/>
        </w:rPr>
        <w:t>Quarterly monitoring meetings between OSHA and the State Plan</w:t>
      </w:r>
    </w:p>
    <w:p w14:paraId="24C3E6DC" w14:textId="77777777" w:rsidR="00384419" w:rsidRDefault="009D79D6" w:rsidP="00705ED8">
      <w:pPr>
        <w:pStyle w:val="ListParagraph"/>
        <w:numPr>
          <w:ilvl w:val="0"/>
          <w:numId w:val="7"/>
        </w:numPr>
        <w:ind w:left="900"/>
        <w:rPr>
          <w:rFonts w:ascii="Times New Roman" w:hAnsi="Times New Roman" w:cs="Times New Roman"/>
          <w:bCs/>
          <w:sz w:val="24"/>
          <w:szCs w:val="24"/>
        </w:rPr>
      </w:pPr>
      <w:r>
        <w:rPr>
          <w:rFonts w:ascii="Times New Roman" w:hAnsi="Times New Roman" w:cs="Times New Roman"/>
          <w:bCs/>
          <w:sz w:val="24"/>
          <w:szCs w:val="24"/>
        </w:rPr>
        <w:t>Full case file review</w:t>
      </w:r>
    </w:p>
    <w:p w14:paraId="0A7C3EA5" w14:textId="1E49FC69" w:rsidR="00384419" w:rsidRDefault="009D79D6">
      <w:pPr>
        <w:tabs>
          <w:tab w:val="left" w:pos="0"/>
        </w:tabs>
        <w:jc w:val="both"/>
      </w:pPr>
      <w:r>
        <w:t xml:space="preserve">Each </w:t>
      </w:r>
      <w:r>
        <w:rPr>
          <w:bCs/>
        </w:rPr>
        <w:t>State Activity Mandated Measures (</w:t>
      </w:r>
      <w:r>
        <w:t xml:space="preserve">SAMM) </w:t>
      </w:r>
      <w:r>
        <w:rPr>
          <w:bCs/>
        </w:rPr>
        <w:t xml:space="preserve">Report </w:t>
      </w:r>
      <w:r>
        <w:t xml:space="preserve">has an agreed-upon Further Review Level (FRL), which can be either a single number, or a range of numbers above and below a three-year national average.  State Plan SAMM data that falls outside the FRL triggers a closer look at the underlying performance of the mandatory activity.  Appendix D presents the State Plan’s </w:t>
      </w:r>
      <w:r w:rsidR="00C510E1">
        <w:t>FY 2023</w:t>
      </w:r>
      <w:r>
        <w:t xml:space="preserve"> State Activity Mandated Measures Report and includes the FRL for each measure.</w:t>
      </w:r>
    </w:p>
    <w:p w14:paraId="5B7C06AC" w14:textId="77777777" w:rsidR="00384419" w:rsidRDefault="00384419">
      <w:pPr>
        <w:rPr>
          <w:bCs/>
        </w:rPr>
      </w:pPr>
    </w:p>
    <w:p w14:paraId="4018E04E" w14:textId="77777777" w:rsidR="00384419" w:rsidRDefault="009D79D6" w:rsidP="00705ED8">
      <w:pPr>
        <w:pStyle w:val="ListParagraph"/>
        <w:numPr>
          <w:ilvl w:val="0"/>
          <w:numId w:val="5"/>
        </w:numPr>
        <w:tabs>
          <w:tab w:val="left" w:pos="360"/>
        </w:tabs>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 xml:space="preserve">Review of State Plan Performance </w:t>
      </w:r>
    </w:p>
    <w:p w14:paraId="1561F8CA" w14:textId="77777777" w:rsidR="00384419" w:rsidRDefault="00384419">
      <w:pPr>
        <w:rPr>
          <w:i/>
        </w:rPr>
      </w:pPr>
    </w:p>
    <w:p w14:paraId="6A9218CC" w14:textId="77777777" w:rsidR="00384419" w:rsidRDefault="009D79D6">
      <w:pPr>
        <w:tabs>
          <w:tab w:val="left" w:pos="900"/>
        </w:tabs>
        <w:ind w:left="900" w:hanging="540"/>
        <w:rPr>
          <w:b/>
          <w:caps/>
        </w:rPr>
      </w:pPr>
      <w:r>
        <w:rPr>
          <w:b/>
          <w:caps/>
        </w:rPr>
        <w:t xml:space="preserve">1. </w:t>
      </w:r>
      <w:r>
        <w:rPr>
          <w:b/>
          <w:caps/>
        </w:rPr>
        <w:tab/>
        <w:t>PROGRAM Administration</w:t>
      </w:r>
    </w:p>
    <w:p w14:paraId="01CE4BE4" w14:textId="77777777" w:rsidR="00384419" w:rsidRDefault="00384419">
      <w:pPr>
        <w:tabs>
          <w:tab w:val="left" w:pos="900"/>
        </w:tabs>
        <w:ind w:left="900" w:hanging="540"/>
      </w:pPr>
    </w:p>
    <w:p w14:paraId="62420E04" w14:textId="77777777" w:rsidR="00384419" w:rsidRDefault="009D79D6" w:rsidP="00705ED8">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Training</w:t>
      </w:r>
    </w:p>
    <w:p w14:paraId="1B20A565" w14:textId="77777777" w:rsidR="00384419" w:rsidRDefault="00384419">
      <w:pPr>
        <w:pStyle w:val="ListParagraph"/>
        <w:spacing w:line="240" w:lineRule="auto"/>
        <w:rPr>
          <w:rFonts w:ascii="Times New Roman" w:hAnsi="Times New Roman" w:cs="Times New Roman"/>
          <w:sz w:val="24"/>
          <w:szCs w:val="24"/>
        </w:rPr>
      </w:pPr>
    </w:p>
    <w:p w14:paraId="4E75DA6C" w14:textId="54EB27BF" w:rsidR="00384419" w:rsidRDefault="009D79D6">
      <w:pPr>
        <w:pStyle w:val="ListParagraph"/>
        <w:spacing w:line="240" w:lineRule="auto"/>
        <w:jc w:val="both"/>
        <w:rPr>
          <w:rFonts w:ascii="Times New Roman" w:hAnsi="Times New Roman" w:cs="Times New Roman"/>
          <w:sz w:val="24"/>
          <w:szCs w:val="24"/>
        </w:rPr>
      </w:pPr>
      <w:r w:rsidRPr="006C3C0D">
        <w:rPr>
          <w:rFonts w:ascii="Times New Roman" w:hAnsi="Times New Roman" w:cs="Times New Roman"/>
          <w:sz w:val="24"/>
          <w:szCs w:val="24"/>
        </w:rPr>
        <w:t xml:space="preserve">The Education, Training and Technical Assistance (ETTA) Bureau is responsible for training the North Carolina Occupational Safety and Health Division personnel, and employees across the State.  In </w:t>
      </w:r>
      <w:r w:rsidR="00C510E1" w:rsidRPr="006C3C0D">
        <w:rPr>
          <w:rFonts w:ascii="Times New Roman" w:hAnsi="Times New Roman" w:cs="Times New Roman"/>
          <w:sz w:val="24"/>
          <w:szCs w:val="24"/>
        </w:rPr>
        <w:t>FY 2023</w:t>
      </w:r>
      <w:r w:rsidRPr="006C3C0D">
        <w:rPr>
          <w:rFonts w:ascii="Times New Roman" w:hAnsi="Times New Roman" w:cs="Times New Roman"/>
          <w:sz w:val="24"/>
          <w:szCs w:val="24"/>
        </w:rPr>
        <w:t xml:space="preserve">, ETTA offered </w:t>
      </w:r>
      <w:r w:rsidR="004410EF" w:rsidRPr="006C3C0D">
        <w:rPr>
          <w:rFonts w:ascii="Times New Roman" w:hAnsi="Times New Roman" w:cs="Times New Roman"/>
          <w:sz w:val="24"/>
          <w:szCs w:val="24"/>
        </w:rPr>
        <w:t>278</w:t>
      </w:r>
      <w:r w:rsidRPr="006C3C0D">
        <w:rPr>
          <w:rFonts w:ascii="Times New Roman" w:hAnsi="Times New Roman" w:cs="Times New Roman"/>
          <w:sz w:val="24"/>
          <w:szCs w:val="24"/>
        </w:rPr>
        <w:t xml:space="preserve"> hours of formal training, </w:t>
      </w:r>
      <w:r w:rsidR="004410EF" w:rsidRPr="006C3C0D">
        <w:rPr>
          <w:rFonts w:ascii="Times New Roman" w:hAnsi="Times New Roman" w:cs="Times New Roman"/>
          <w:sz w:val="24"/>
          <w:szCs w:val="24"/>
        </w:rPr>
        <w:t>148</w:t>
      </w:r>
      <w:r w:rsidRPr="006C3C0D">
        <w:rPr>
          <w:rFonts w:ascii="Times New Roman" w:hAnsi="Times New Roman" w:cs="Times New Roman"/>
          <w:sz w:val="24"/>
          <w:szCs w:val="24"/>
        </w:rPr>
        <w:t xml:space="preserve"> hours of continuing education, </w:t>
      </w:r>
      <w:r w:rsidR="004410EF" w:rsidRPr="006C3C0D">
        <w:rPr>
          <w:rFonts w:ascii="Times New Roman" w:hAnsi="Times New Roman" w:cs="Times New Roman"/>
          <w:sz w:val="24"/>
          <w:szCs w:val="24"/>
        </w:rPr>
        <w:t>37</w:t>
      </w:r>
      <w:r w:rsidRPr="006C3C0D">
        <w:rPr>
          <w:rFonts w:ascii="Times New Roman" w:hAnsi="Times New Roman" w:cs="Times New Roman"/>
          <w:sz w:val="24"/>
          <w:szCs w:val="24"/>
        </w:rPr>
        <w:t xml:space="preserve"> hours of other job-related training to internal personnel.  ETTA conducts OSHA Training Institute (OTI) equivalent training for OSH Division compliance staff. </w:t>
      </w:r>
      <w:r w:rsidR="00391F38" w:rsidRPr="006C3C0D">
        <w:rPr>
          <w:rFonts w:ascii="Times New Roman" w:hAnsi="Times New Roman" w:cs="Times New Roman"/>
          <w:sz w:val="24"/>
          <w:szCs w:val="24"/>
        </w:rPr>
        <w:t xml:space="preserve"> </w:t>
      </w:r>
      <w:r w:rsidRPr="006C3C0D">
        <w:rPr>
          <w:rFonts w:ascii="Times New Roman" w:hAnsi="Times New Roman" w:cs="Times New Roman"/>
          <w:sz w:val="24"/>
          <w:szCs w:val="24"/>
        </w:rPr>
        <w:t>The North Carolina OSH Division directive, Operating Procedure Notice (OPN) 64</w:t>
      </w:r>
      <w:r w:rsidR="004410EF" w:rsidRPr="006C3C0D">
        <w:rPr>
          <w:rFonts w:ascii="Times New Roman" w:hAnsi="Times New Roman" w:cs="Times New Roman"/>
          <w:sz w:val="24"/>
          <w:szCs w:val="24"/>
        </w:rPr>
        <w:t>I</w:t>
      </w:r>
      <w:r w:rsidRPr="006C3C0D">
        <w:rPr>
          <w:rFonts w:ascii="Times New Roman" w:hAnsi="Times New Roman" w:cs="Times New Roman"/>
          <w:sz w:val="24"/>
          <w:szCs w:val="24"/>
        </w:rPr>
        <w:t>, establishes the</w:t>
      </w:r>
      <w:r>
        <w:rPr>
          <w:rFonts w:ascii="Times New Roman" w:hAnsi="Times New Roman" w:cs="Times New Roman"/>
          <w:sz w:val="24"/>
          <w:szCs w:val="24"/>
        </w:rPr>
        <w:t xml:space="preserve"> policies and procedures for the initial training and development of the State Plan’s compliance staff.  NC OSH’s training directive is comparable to OSHA’s training directive, TED-01-00-019.</w:t>
      </w:r>
      <w:r w:rsidR="00011F9B">
        <w:rPr>
          <w:rFonts w:ascii="Times New Roman" w:hAnsi="Times New Roman" w:cs="Times New Roman"/>
          <w:sz w:val="24"/>
          <w:szCs w:val="24"/>
        </w:rPr>
        <w:t xml:space="preserve">  </w:t>
      </w:r>
      <w:r>
        <w:rPr>
          <w:rFonts w:ascii="Times New Roman" w:hAnsi="Times New Roman" w:cs="Times New Roman"/>
          <w:sz w:val="24"/>
          <w:szCs w:val="24"/>
        </w:rPr>
        <w:t xml:space="preserve">By conducting internal training, ETTA trains its employees at the appointed times and at a lower cost.  The State also continues to utilize senior compliance personnel to conduct training and augment the ETTA staff.  OSHNC also continues to conduct outreach and training by providing safety and health training employers and employees throughout North Carolina. </w:t>
      </w:r>
    </w:p>
    <w:p w14:paraId="1A494D0F" w14:textId="607D61DA" w:rsidR="00384419" w:rsidRDefault="009D79D6">
      <w:pPr>
        <w:ind w:left="900"/>
        <w:jc w:val="center"/>
        <w:rPr>
          <w:b/>
        </w:rPr>
      </w:pPr>
      <w:r>
        <w:rPr>
          <w:b/>
        </w:rPr>
        <w:t xml:space="preserve">Statistical Training Information </w:t>
      </w:r>
      <w:r w:rsidR="00C510E1">
        <w:rPr>
          <w:b/>
        </w:rPr>
        <w:t>FY 2023</w:t>
      </w:r>
    </w:p>
    <w:p w14:paraId="091DFA8A" w14:textId="77777777" w:rsidR="00384419" w:rsidRDefault="00384419">
      <w:pPr>
        <w:ind w:left="900"/>
        <w:jc w:val="both"/>
      </w:pPr>
    </w:p>
    <w:tbl>
      <w:tblPr>
        <w:tblStyle w:val="TableGrid"/>
        <w:tblW w:w="0" w:type="auto"/>
        <w:tblInd w:w="900" w:type="dxa"/>
        <w:tblLook w:val="04A0" w:firstRow="1" w:lastRow="0" w:firstColumn="1" w:lastColumn="0" w:noHBand="0" w:noVBand="1"/>
      </w:tblPr>
      <w:tblGrid>
        <w:gridCol w:w="6655"/>
        <w:gridCol w:w="2605"/>
      </w:tblGrid>
      <w:tr w:rsidR="00384419" w:rsidRPr="006C3C0D" w14:paraId="778C16C4" w14:textId="77777777">
        <w:tc>
          <w:tcPr>
            <w:tcW w:w="6655" w:type="dxa"/>
          </w:tcPr>
          <w:p w14:paraId="5E213B8D" w14:textId="77777777" w:rsidR="00384419" w:rsidRDefault="009D79D6">
            <w:pPr>
              <w:jc w:val="both"/>
            </w:pPr>
            <w:r>
              <w:t xml:space="preserve">Private sector employers trained </w:t>
            </w:r>
          </w:p>
        </w:tc>
        <w:tc>
          <w:tcPr>
            <w:tcW w:w="2605" w:type="dxa"/>
          </w:tcPr>
          <w:p w14:paraId="3BF66BA3" w14:textId="659F4C87" w:rsidR="00384419" w:rsidRPr="006C3C0D" w:rsidRDefault="004410EF">
            <w:pPr>
              <w:jc w:val="center"/>
            </w:pPr>
            <w:r w:rsidRPr="006C3C0D">
              <w:t>4579</w:t>
            </w:r>
          </w:p>
        </w:tc>
      </w:tr>
      <w:tr w:rsidR="00384419" w:rsidRPr="006C3C0D" w14:paraId="0E64C041" w14:textId="77777777">
        <w:tc>
          <w:tcPr>
            <w:tcW w:w="6655" w:type="dxa"/>
          </w:tcPr>
          <w:p w14:paraId="54525324" w14:textId="77777777" w:rsidR="00384419" w:rsidRDefault="009D79D6">
            <w:pPr>
              <w:jc w:val="both"/>
            </w:pPr>
            <w:r>
              <w:t xml:space="preserve">State and local government workplace employers trained </w:t>
            </w:r>
          </w:p>
        </w:tc>
        <w:tc>
          <w:tcPr>
            <w:tcW w:w="2605" w:type="dxa"/>
          </w:tcPr>
          <w:p w14:paraId="754C6251" w14:textId="73EFC5B5" w:rsidR="00384419" w:rsidRPr="006C3C0D" w:rsidRDefault="004410EF">
            <w:pPr>
              <w:jc w:val="center"/>
            </w:pPr>
            <w:r w:rsidRPr="006C3C0D">
              <w:t>983</w:t>
            </w:r>
          </w:p>
        </w:tc>
      </w:tr>
      <w:tr w:rsidR="00384419" w:rsidRPr="006C3C0D" w14:paraId="79F9829F" w14:textId="77777777">
        <w:tc>
          <w:tcPr>
            <w:tcW w:w="6655" w:type="dxa"/>
          </w:tcPr>
          <w:p w14:paraId="4A3036C9" w14:textId="77777777" w:rsidR="00384419" w:rsidRDefault="009D79D6">
            <w:pPr>
              <w:jc w:val="both"/>
            </w:pPr>
            <w:r>
              <w:t xml:space="preserve">Total number of workers that received training </w:t>
            </w:r>
          </w:p>
        </w:tc>
        <w:tc>
          <w:tcPr>
            <w:tcW w:w="2605" w:type="dxa"/>
          </w:tcPr>
          <w:p w14:paraId="36B28733" w14:textId="35641F13" w:rsidR="00384419" w:rsidRPr="006C3C0D" w:rsidRDefault="004410EF">
            <w:pPr>
              <w:jc w:val="center"/>
            </w:pPr>
            <w:r w:rsidRPr="006C3C0D">
              <w:t>5562</w:t>
            </w:r>
          </w:p>
        </w:tc>
      </w:tr>
    </w:tbl>
    <w:p w14:paraId="7414F875" w14:textId="77777777" w:rsidR="00384419" w:rsidRDefault="00384419"/>
    <w:p w14:paraId="638C9384" w14:textId="77777777" w:rsidR="00384419" w:rsidRDefault="009D79D6" w:rsidP="00705ED8">
      <w:pPr>
        <w:pStyle w:val="ListParagraph"/>
        <w:numPr>
          <w:ilvl w:val="0"/>
          <w:numId w:val="10"/>
        </w:numPr>
        <w:rPr>
          <w:sz w:val="24"/>
          <w:szCs w:val="24"/>
        </w:rPr>
      </w:pPr>
      <w:r>
        <w:rPr>
          <w:rFonts w:ascii="Times New Roman" w:hAnsi="Times New Roman" w:cs="Times New Roman"/>
          <w:sz w:val="24"/>
          <w:szCs w:val="24"/>
        </w:rPr>
        <w:lastRenderedPageBreak/>
        <w:t xml:space="preserve">OSHA Information System </w:t>
      </w:r>
    </w:p>
    <w:p w14:paraId="7A6219DF" w14:textId="77777777" w:rsidR="00087248" w:rsidRDefault="009D79D6" w:rsidP="00087248">
      <w:pPr>
        <w:widowControl/>
        <w:autoSpaceDE/>
        <w:autoSpaceDN/>
        <w:adjustRightInd/>
        <w:ind w:left="1080"/>
        <w:jc w:val="both"/>
        <w:rPr>
          <w:rFonts w:eastAsia="Calibri"/>
        </w:rPr>
      </w:pPr>
      <w:r>
        <w:rPr>
          <w:rFonts w:eastAsia="Calibri"/>
        </w:rPr>
        <w:t>The State Plan has consistently used OSHA Express (OE) Data Management System, and OIS reports to manage the program, and track OSHNC Division activity.</w:t>
      </w:r>
      <w:r w:rsidR="00391F38">
        <w:rPr>
          <w:rFonts w:eastAsia="Calibri"/>
        </w:rPr>
        <w:t xml:space="preserve">  </w:t>
      </w:r>
      <w:r>
        <w:rPr>
          <w:rFonts w:eastAsia="Calibri"/>
        </w:rPr>
        <w:t xml:space="preserve">This includes both mandated activity and activity goals and outcome goals included in the Strategic Management Plan.  In </w:t>
      </w:r>
      <w:r w:rsidR="00C510E1">
        <w:rPr>
          <w:rFonts w:eastAsia="Calibri"/>
        </w:rPr>
        <w:t>FY 2023</w:t>
      </w:r>
      <w:r>
        <w:rPr>
          <w:rFonts w:eastAsia="Calibri"/>
        </w:rPr>
        <w:t xml:space="preserve">, OSH transmitted data from OE Data Management System to OSHA’s Information System (OIS) via an interface. OSH and the OE vendor continue to work together to ensure that the OE and OIS, State Activity Mandated Measures (SAMM) and State Information Report (SIR) reports are providing accurate data.  </w:t>
      </w:r>
    </w:p>
    <w:p w14:paraId="0A65631C" w14:textId="77777777" w:rsidR="00087248" w:rsidRDefault="00087248" w:rsidP="00087248">
      <w:pPr>
        <w:widowControl/>
        <w:autoSpaceDE/>
        <w:autoSpaceDN/>
        <w:adjustRightInd/>
        <w:ind w:left="1080"/>
        <w:jc w:val="both"/>
        <w:rPr>
          <w:rFonts w:eastAsia="Calibri"/>
        </w:rPr>
      </w:pPr>
    </w:p>
    <w:p w14:paraId="1B509D6E" w14:textId="35B2C08D" w:rsidR="00087248" w:rsidRPr="00F72BD4" w:rsidRDefault="009D79D6" w:rsidP="00087248">
      <w:pPr>
        <w:widowControl/>
        <w:autoSpaceDE/>
        <w:autoSpaceDN/>
        <w:adjustRightInd/>
        <w:ind w:left="1080"/>
        <w:jc w:val="both"/>
        <w:rPr>
          <w:rFonts w:eastAsia="Calibri"/>
          <w:color w:val="000000" w:themeColor="text1"/>
        </w:rPr>
      </w:pPr>
      <w:r w:rsidRPr="00087248">
        <w:t xml:space="preserve">Four change requests were submitted for the </w:t>
      </w:r>
      <w:bookmarkStart w:id="5" w:name="_Hlk101181010"/>
      <w:r w:rsidRPr="00087248">
        <w:t>OE</w:t>
      </w:r>
      <w:bookmarkEnd w:id="5"/>
      <w:r w:rsidRPr="00087248">
        <w:t xml:space="preserve"> Data Management System this past year. </w:t>
      </w:r>
      <w:r w:rsidR="00087248" w:rsidRPr="00087248">
        <w:rPr>
          <w:rFonts w:eastAsia="Calibri"/>
        </w:rPr>
        <w:t xml:space="preserve">OSH continues to provide administrative support for the OSHA Legacy Data </w:t>
      </w:r>
      <w:r w:rsidR="00087248" w:rsidRPr="00F72BD4">
        <w:rPr>
          <w:rFonts w:eastAsia="Calibri"/>
          <w:color w:val="000000" w:themeColor="text1"/>
        </w:rPr>
        <w:t xml:space="preserve">(OLD) system. The OLD system was rolled out in late FY </w:t>
      </w:r>
      <w:r w:rsidR="00EC38FD" w:rsidRPr="00F72BD4">
        <w:rPr>
          <w:rFonts w:eastAsia="Calibri"/>
          <w:color w:val="000000" w:themeColor="text1"/>
        </w:rPr>
        <w:t>2016,</w:t>
      </w:r>
      <w:r w:rsidR="00087248" w:rsidRPr="00F72BD4">
        <w:rPr>
          <w:rFonts w:eastAsia="Calibri"/>
          <w:color w:val="000000" w:themeColor="text1"/>
        </w:rPr>
        <w:t xml:space="preserve"> and additional features were subsequently added to allow OSHA and State Plans to access and modify pre-OIS inspection files, as necessary. Progress continues to be made in closing open legacy case files. At the end of FY 2023, OSH had five cases remaining in the OLD system.</w:t>
      </w:r>
    </w:p>
    <w:p w14:paraId="58A494CD" w14:textId="7EB43DC1" w:rsidR="00384419" w:rsidRDefault="00384419" w:rsidP="00087248">
      <w:pPr>
        <w:widowControl/>
        <w:autoSpaceDE/>
        <w:autoSpaceDN/>
        <w:adjustRightInd/>
        <w:ind w:left="1080"/>
        <w:jc w:val="both"/>
      </w:pPr>
    </w:p>
    <w:p w14:paraId="3CED6047" w14:textId="77777777" w:rsidR="00384419" w:rsidRDefault="009D79D6" w:rsidP="00705ED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State Internal Evaluation Program Report</w:t>
      </w:r>
    </w:p>
    <w:p w14:paraId="3C339F98" w14:textId="77777777" w:rsidR="00993991" w:rsidRPr="0095568A" w:rsidRDefault="009D79D6" w:rsidP="00993991">
      <w:pPr>
        <w:widowControl/>
        <w:autoSpaceDE/>
        <w:adjustRightInd/>
        <w:ind w:left="1080"/>
        <w:jc w:val="both"/>
      </w:pPr>
      <w:r w:rsidRPr="0095568A">
        <w:t xml:space="preserve">The North Carolina State Plan has an effective internal audit procedure, documented in Administrative Procedure Notice 14.  As part of the OSHNC quality program, </w:t>
      </w:r>
      <w:r w:rsidR="00993991" w:rsidRPr="0095568A">
        <w:t>113</w:t>
      </w:r>
      <w:r w:rsidRPr="0095568A">
        <w:t xml:space="preserve"> high profile case file reviews were completed by the OSH Director’s Office. The purpose of the audits was to ensure that inspection activities were being conducted, in accordance with established policies and procedures. The findings of these audits were posted internally, and feedback was provided to the compliance bureau chiefs, district supervisors, and compliance officers.</w:t>
      </w:r>
    </w:p>
    <w:p w14:paraId="44BFCEE1" w14:textId="77777777" w:rsidR="00993991" w:rsidRDefault="00993991" w:rsidP="00993991">
      <w:pPr>
        <w:widowControl/>
        <w:autoSpaceDE/>
        <w:adjustRightInd/>
        <w:ind w:left="1080"/>
        <w:jc w:val="both"/>
        <w:rPr>
          <w:color w:val="FF0000"/>
        </w:rPr>
      </w:pPr>
    </w:p>
    <w:p w14:paraId="39A9FF9F" w14:textId="77777777" w:rsidR="00C95B09" w:rsidRDefault="00993991" w:rsidP="00C95B09">
      <w:pPr>
        <w:widowControl/>
        <w:autoSpaceDE/>
        <w:adjustRightInd/>
        <w:ind w:left="1080"/>
        <w:jc w:val="both"/>
        <w:rPr>
          <w:color w:val="FF0000"/>
        </w:rPr>
      </w:pPr>
      <w:r w:rsidRPr="00F72BD4">
        <w:rPr>
          <w:rFonts w:eastAsia="Calibri"/>
          <w:color w:val="000000" w:themeColor="text1"/>
        </w:rPr>
        <w:t xml:space="preserve">The beginning of a two-year internal audit was started in 2023 to assess and document the positions and activities in the PSIM bureau in advance of multiple retirements. </w:t>
      </w:r>
      <w:bookmarkStart w:id="6" w:name="_Hlk150783071"/>
      <w:r w:rsidRPr="00F72BD4">
        <w:rPr>
          <w:rFonts w:eastAsia="Calibri"/>
          <w:color w:val="000000" w:themeColor="text1"/>
        </w:rPr>
        <w:t>The purpose of the audit is to provide an outline of tasks and administrative needs for the department and to assess if job duties could be streamlined or combined in the future.</w:t>
      </w:r>
      <w:bookmarkStart w:id="7" w:name="_Hlk153981638"/>
      <w:bookmarkEnd w:id="6"/>
    </w:p>
    <w:p w14:paraId="6F09B656" w14:textId="77777777" w:rsidR="00C95B09" w:rsidRDefault="00C95B09" w:rsidP="00C95B09">
      <w:pPr>
        <w:widowControl/>
        <w:autoSpaceDE/>
        <w:adjustRightInd/>
        <w:ind w:left="1080"/>
        <w:jc w:val="both"/>
        <w:rPr>
          <w:color w:val="FF0000"/>
        </w:rPr>
      </w:pPr>
    </w:p>
    <w:p w14:paraId="098CE3AB" w14:textId="5EC2DADF" w:rsidR="00C95B09" w:rsidRPr="00C95B09" w:rsidRDefault="00C95B09" w:rsidP="00C95B09">
      <w:pPr>
        <w:widowControl/>
        <w:autoSpaceDE/>
        <w:adjustRightInd/>
        <w:ind w:left="1080"/>
        <w:jc w:val="both"/>
        <w:rPr>
          <w:color w:val="FF0000"/>
        </w:rPr>
      </w:pPr>
      <w:r w:rsidRPr="0D3CAFBE">
        <w:rPr>
          <w:color w:val="000000" w:themeColor="text1"/>
        </w:rPr>
        <w:t>Two action requests were processed by Compliance. This Quality Program activity provides opportunities for program improvement identified by customers, OSH Division employees or as a result of internal audits and Federal OSHA audits. Ongoing revisions are made to the Field Operations Manual (FOM) and Operational Procedure Notices (OPN)</w:t>
      </w:r>
      <w:r w:rsidR="00FC0C19">
        <w:rPr>
          <w:color w:val="000000" w:themeColor="text1"/>
        </w:rPr>
        <w:t>,</w:t>
      </w:r>
      <w:r w:rsidRPr="0D3CAFBE">
        <w:rPr>
          <w:color w:val="000000" w:themeColor="text1"/>
        </w:rPr>
        <w:t xml:space="preserve"> as a result of the quality program action items.</w:t>
      </w:r>
    </w:p>
    <w:bookmarkEnd w:id="7"/>
    <w:p w14:paraId="0511EB03" w14:textId="77777777" w:rsidR="00384419" w:rsidRDefault="00384419">
      <w:pPr>
        <w:autoSpaceDE/>
        <w:jc w:val="both"/>
      </w:pPr>
    </w:p>
    <w:p w14:paraId="1B71777B" w14:textId="77777777" w:rsidR="00384419" w:rsidRDefault="009D79D6" w:rsidP="00705ED8">
      <w:pPr>
        <w:pStyle w:val="ListParagraph"/>
        <w:numPr>
          <w:ilvl w:val="0"/>
          <w:numId w:val="10"/>
        </w:numPr>
        <w:rPr>
          <w:sz w:val="24"/>
          <w:szCs w:val="24"/>
        </w:rPr>
      </w:pPr>
      <w:r>
        <w:rPr>
          <w:rFonts w:ascii="Times New Roman" w:hAnsi="Times New Roman" w:cs="Times New Roman"/>
          <w:sz w:val="24"/>
          <w:szCs w:val="24"/>
        </w:rPr>
        <w:t xml:space="preserve">Staffing </w:t>
      </w:r>
    </w:p>
    <w:p w14:paraId="46F01E74" w14:textId="647CF932" w:rsidR="001E3D72" w:rsidRDefault="009D79D6" w:rsidP="00A35A0A">
      <w:pPr>
        <w:ind w:left="1080"/>
        <w:jc w:val="both"/>
      </w:pPr>
      <w:r w:rsidRPr="00B5710E">
        <w:t xml:space="preserve">During this period, the OSHNC’s staffing levels were below the established benchmarks for the program, but at an acceptable level, based on the benchmark criteria.  However, the State Plan remains committed to staffing its program at the appropriate level, within the current budgetary constraints. </w:t>
      </w:r>
    </w:p>
    <w:p w14:paraId="6783D063" w14:textId="77777777" w:rsidR="00A35A0A" w:rsidRDefault="00A35A0A" w:rsidP="00A35A0A">
      <w:pPr>
        <w:ind w:left="1080"/>
        <w:jc w:val="both"/>
      </w:pPr>
    </w:p>
    <w:p w14:paraId="59DA95A2" w14:textId="5EEF56E2" w:rsidR="00A35A0A" w:rsidRDefault="00A35A0A" w:rsidP="00A35A0A">
      <w:pPr>
        <w:ind w:left="1080"/>
        <w:jc w:val="both"/>
      </w:pPr>
      <w:r>
        <w:t>When the FY 2023 goals were established at the end of Quarter 3 of FY 2022, OSH Compliance had 54 released CSHOs and 14 CSHO</w:t>
      </w:r>
      <w:r w:rsidR="0098167D">
        <w:t>s</w:t>
      </w:r>
      <w:r>
        <w:t xml:space="preserve"> in training.  The FY 2023 goals were set based on the assumption that many of those CSHOs in training would be released during the year.  </w:t>
      </w:r>
      <w:r w:rsidRPr="00A84949">
        <w:t>Unfortunately, that did not occur, and the OSH Division was down to 50 released CSHOs at the end of FY 2023</w:t>
      </w:r>
      <w:r w:rsidR="00C10D88">
        <w:t>,</w:t>
      </w:r>
      <w:r w:rsidRPr="00A84949">
        <w:t xml:space="preserve"> </w:t>
      </w:r>
      <w:r w:rsidR="00C854A6" w:rsidRPr="00A84949">
        <w:t>1</w:t>
      </w:r>
      <w:r w:rsidR="00C854A6" w:rsidRPr="00A84949">
        <w:rPr>
          <w:vertAlign w:val="superscript"/>
        </w:rPr>
        <w:t>st</w:t>
      </w:r>
      <w:r w:rsidR="00C854A6" w:rsidRPr="00A84949">
        <w:t xml:space="preserve"> </w:t>
      </w:r>
      <w:r w:rsidRPr="00A84949">
        <w:t>Quarter</w:t>
      </w:r>
      <w:r w:rsidR="00C10D88">
        <w:t>,</w:t>
      </w:r>
      <w:r w:rsidR="00C854A6" w:rsidRPr="00A84949">
        <w:t xml:space="preserve"> </w:t>
      </w:r>
      <w:r w:rsidRPr="00A84949">
        <w:t xml:space="preserve">and 51 released CSHOs at the end of FY </w:t>
      </w:r>
      <w:r w:rsidR="00C854A6" w:rsidRPr="00A84949">
        <w:t>2</w:t>
      </w:r>
      <w:r w:rsidR="00C854A6" w:rsidRPr="00A84949">
        <w:rPr>
          <w:vertAlign w:val="superscript"/>
        </w:rPr>
        <w:t>nd</w:t>
      </w:r>
      <w:r w:rsidR="00C854A6" w:rsidRPr="00A84949">
        <w:t xml:space="preserve"> </w:t>
      </w:r>
      <w:r w:rsidRPr="00A84949">
        <w:t>Quarter</w:t>
      </w:r>
      <w:r w:rsidR="00C854A6" w:rsidRPr="00A84949">
        <w:t>.</w:t>
      </w:r>
    </w:p>
    <w:p w14:paraId="13549E1E" w14:textId="77777777" w:rsidR="00A35A0A" w:rsidRPr="00802BA3" w:rsidRDefault="00A35A0A" w:rsidP="00A35A0A">
      <w:pPr>
        <w:ind w:left="1080"/>
        <w:jc w:val="both"/>
      </w:pPr>
    </w:p>
    <w:tbl>
      <w:tblPr>
        <w:tblpPr w:leftFromText="195" w:rightFromText="195" w:vertAnchor="text" w:horzAnchor="margin" w:tblpXSpec="right" w:tblpY="135"/>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0"/>
        <w:gridCol w:w="2254"/>
        <w:gridCol w:w="1226"/>
        <w:gridCol w:w="1170"/>
        <w:gridCol w:w="1170"/>
        <w:gridCol w:w="1080"/>
        <w:gridCol w:w="1080"/>
      </w:tblGrid>
      <w:tr w:rsidR="001E3D72" w14:paraId="7EDF9F86" w14:textId="77777777" w:rsidTr="00366B2D">
        <w:trPr>
          <w:trHeight w:val="300"/>
        </w:trPr>
        <w:tc>
          <w:tcPr>
            <w:tcW w:w="3544" w:type="dxa"/>
            <w:gridSpan w:val="2"/>
            <w:tcMar>
              <w:top w:w="0" w:type="dxa"/>
              <w:left w:w="108" w:type="dxa"/>
              <w:bottom w:w="0" w:type="dxa"/>
              <w:right w:w="108" w:type="dxa"/>
            </w:tcMar>
          </w:tcPr>
          <w:p w14:paraId="367F830A" w14:textId="77777777" w:rsidR="001E3D72" w:rsidRDefault="001E3D72" w:rsidP="001E3D72">
            <w:pPr>
              <w:spacing w:line="276" w:lineRule="auto"/>
              <w:jc w:val="center"/>
              <w:rPr>
                <w:b/>
                <w:bCs/>
              </w:rPr>
            </w:pPr>
          </w:p>
        </w:tc>
        <w:tc>
          <w:tcPr>
            <w:tcW w:w="1226" w:type="dxa"/>
            <w:tcMar>
              <w:top w:w="0" w:type="dxa"/>
              <w:left w:w="108" w:type="dxa"/>
              <w:bottom w:w="0" w:type="dxa"/>
              <w:right w:w="108" w:type="dxa"/>
            </w:tcMar>
            <w:hideMark/>
          </w:tcPr>
          <w:p w14:paraId="54D2F1AB" w14:textId="77777777" w:rsidR="001E3D72" w:rsidRDefault="001E3D72" w:rsidP="001E3D72">
            <w:pPr>
              <w:spacing w:line="276" w:lineRule="auto"/>
              <w:jc w:val="center"/>
              <w:rPr>
                <w:b/>
                <w:bCs/>
              </w:rPr>
            </w:pPr>
            <w:r>
              <w:rPr>
                <w:b/>
                <w:bCs/>
              </w:rPr>
              <w:t>FY 2019</w:t>
            </w:r>
          </w:p>
        </w:tc>
        <w:tc>
          <w:tcPr>
            <w:tcW w:w="1170" w:type="dxa"/>
            <w:tcMar>
              <w:top w:w="0" w:type="dxa"/>
              <w:left w:w="108" w:type="dxa"/>
              <w:bottom w:w="0" w:type="dxa"/>
              <w:right w:w="108" w:type="dxa"/>
            </w:tcMar>
            <w:hideMark/>
          </w:tcPr>
          <w:p w14:paraId="3B8E218F" w14:textId="77777777" w:rsidR="001E3D72" w:rsidRDefault="001E3D72" w:rsidP="001E3D72">
            <w:pPr>
              <w:spacing w:line="276" w:lineRule="auto"/>
              <w:jc w:val="center"/>
              <w:rPr>
                <w:b/>
                <w:bCs/>
              </w:rPr>
            </w:pPr>
            <w:r>
              <w:rPr>
                <w:b/>
                <w:bCs/>
              </w:rPr>
              <w:t>FY 2020</w:t>
            </w:r>
          </w:p>
        </w:tc>
        <w:tc>
          <w:tcPr>
            <w:tcW w:w="1170" w:type="dxa"/>
            <w:tcMar>
              <w:top w:w="0" w:type="dxa"/>
              <w:left w:w="108" w:type="dxa"/>
              <w:bottom w:w="0" w:type="dxa"/>
              <w:right w:w="108" w:type="dxa"/>
            </w:tcMar>
            <w:hideMark/>
          </w:tcPr>
          <w:p w14:paraId="56AA4F21" w14:textId="77777777" w:rsidR="001E3D72" w:rsidRDefault="001E3D72" w:rsidP="001E3D72">
            <w:pPr>
              <w:spacing w:line="276" w:lineRule="auto"/>
              <w:rPr>
                <w:b/>
                <w:bCs/>
              </w:rPr>
            </w:pPr>
            <w:r>
              <w:rPr>
                <w:b/>
                <w:bCs/>
              </w:rPr>
              <w:t>FY2021</w:t>
            </w:r>
          </w:p>
        </w:tc>
        <w:tc>
          <w:tcPr>
            <w:tcW w:w="1080" w:type="dxa"/>
            <w:hideMark/>
          </w:tcPr>
          <w:p w14:paraId="5EAA7935" w14:textId="77777777" w:rsidR="001E3D72" w:rsidRDefault="001E3D72" w:rsidP="001E3D72">
            <w:pPr>
              <w:spacing w:line="276" w:lineRule="auto"/>
              <w:jc w:val="center"/>
              <w:rPr>
                <w:b/>
                <w:bCs/>
              </w:rPr>
            </w:pPr>
            <w:r>
              <w:rPr>
                <w:b/>
                <w:bCs/>
              </w:rPr>
              <w:t>FY2022</w:t>
            </w:r>
          </w:p>
        </w:tc>
        <w:tc>
          <w:tcPr>
            <w:tcW w:w="1080" w:type="dxa"/>
            <w:hideMark/>
          </w:tcPr>
          <w:p w14:paraId="4CF8C663" w14:textId="77777777" w:rsidR="001E3D72" w:rsidRDefault="001E3D72" w:rsidP="001E3D72">
            <w:pPr>
              <w:spacing w:line="276" w:lineRule="auto"/>
              <w:jc w:val="center"/>
              <w:rPr>
                <w:b/>
                <w:bCs/>
              </w:rPr>
            </w:pPr>
            <w:r>
              <w:rPr>
                <w:b/>
                <w:bCs/>
              </w:rPr>
              <w:t>FY2023</w:t>
            </w:r>
          </w:p>
        </w:tc>
      </w:tr>
      <w:tr w:rsidR="001E3D72" w14:paraId="5FDE387B" w14:textId="77777777" w:rsidTr="00366B2D">
        <w:trPr>
          <w:trHeight w:val="300"/>
        </w:trPr>
        <w:tc>
          <w:tcPr>
            <w:tcW w:w="1290" w:type="dxa"/>
            <w:vMerge w:val="restart"/>
            <w:tcMar>
              <w:top w:w="0" w:type="dxa"/>
              <w:left w:w="108" w:type="dxa"/>
              <w:bottom w:w="0" w:type="dxa"/>
              <w:right w:w="108" w:type="dxa"/>
            </w:tcMar>
            <w:textDirection w:val="btLr"/>
            <w:vAlign w:val="center"/>
            <w:hideMark/>
          </w:tcPr>
          <w:p w14:paraId="63F7D688" w14:textId="77777777" w:rsidR="001E3D72" w:rsidRDefault="001E3D72" w:rsidP="001E3D72">
            <w:pPr>
              <w:spacing w:line="276" w:lineRule="auto"/>
              <w:ind w:left="113" w:right="113"/>
              <w:jc w:val="center"/>
              <w:rPr>
                <w:b/>
                <w:bCs/>
              </w:rPr>
            </w:pPr>
            <w:r>
              <w:rPr>
                <w:b/>
                <w:bCs/>
              </w:rPr>
              <w:t>Safety</w:t>
            </w:r>
          </w:p>
        </w:tc>
        <w:tc>
          <w:tcPr>
            <w:tcW w:w="2254" w:type="dxa"/>
            <w:tcMar>
              <w:top w:w="0" w:type="dxa"/>
              <w:left w:w="108" w:type="dxa"/>
              <w:bottom w:w="0" w:type="dxa"/>
              <w:right w:w="108" w:type="dxa"/>
            </w:tcMar>
            <w:hideMark/>
          </w:tcPr>
          <w:p w14:paraId="35EE0D2D" w14:textId="77777777" w:rsidR="001E3D72" w:rsidRDefault="001E3D72" w:rsidP="001E3D72">
            <w:pPr>
              <w:spacing w:line="276" w:lineRule="auto"/>
            </w:pPr>
            <w:r>
              <w:t>Benchmark</w:t>
            </w:r>
          </w:p>
        </w:tc>
        <w:tc>
          <w:tcPr>
            <w:tcW w:w="1226" w:type="dxa"/>
            <w:tcMar>
              <w:top w:w="0" w:type="dxa"/>
              <w:left w:w="108" w:type="dxa"/>
              <w:bottom w:w="0" w:type="dxa"/>
              <w:right w:w="108" w:type="dxa"/>
            </w:tcMar>
            <w:hideMark/>
          </w:tcPr>
          <w:p w14:paraId="087C5529" w14:textId="77777777" w:rsidR="001E3D72" w:rsidRDefault="001E3D72" w:rsidP="001E3D72">
            <w:pPr>
              <w:spacing w:line="276" w:lineRule="auto"/>
              <w:jc w:val="center"/>
            </w:pPr>
            <w:r>
              <w:t>64</w:t>
            </w:r>
          </w:p>
        </w:tc>
        <w:tc>
          <w:tcPr>
            <w:tcW w:w="1170" w:type="dxa"/>
            <w:tcMar>
              <w:top w:w="0" w:type="dxa"/>
              <w:left w:w="108" w:type="dxa"/>
              <w:bottom w:w="0" w:type="dxa"/>
              <w:right w:w="108" w:type="dxa"/>
            </w:tcMar>
            <w:hideMark/>
          </w:tcPr>
          <w:p w14:paraId="24DBC942" w14:textId="77777777" w:rsidR="001E3D72" w:rsidRDefault="001E3D72" w:rsidP="001E3D72">
            <w:pPr>
              <w:spacing w:line="276" w:lineRule="auto"/>
              <w:jc w:val="center"/>
            </w:pPr>
            <w:r>
              <w:t>64</w:t>
            </w:r>
          </w:p>
        </w:tc>
        <w:tc>
          <w:tcPr>
            <w:tcW w:w="1170" w:type="dxa"/>
            <w:tcMar>
              <w:top w:w="0" w:type="dxa"/>
              <w:left w:w="108" w:type="dxa"/>
              <w:bottom w:w="0" w:type="dxa"/>
              <w:right w:w="108" w:type="dxa"/>
            </w:tcMar>
            <w:hideMark/>
          </w:tcPr>
          <w:p w14:paraId="1EC4A7C5" w14:textId="77777777" w:rsidR="001E3D72" w:rsidRDefault="001E3D72" w:rsidP="001E3D72">
            <w:pPr>
              <w:spacing w:line="276" w:lineRule="auto"/>
              <w:jc w:val="center"/>
            </w:pPr>
            <w:r>
              <w:t>64</w:t>
            </w:r>
          </w:p>
        </w:tc>
        <w:tc>
          <w:tcPr>
            <w:tcW w:w="1080" w:type="dxa"/>
            <w:hideMark/>
          </w:tcPr>
          <w:p w14:paraId="7964EC48" w14:textId="77777777" w:rsidR="001E3D72" w:rsidRDefault="001E3D72" w:rsidP="001E3D72">
            <w:pPr>
              <w:spacing w:line="276" w:lineRule="auto"/>
              <w:jc w:val="center"/>
            </w:pPr>
            <w:r>
              <w:t>64</w:t>
            </w:r>
          </w:p>
        </w:tc>
        <w:tc>
          <w:tcPr>
            <w:tcW w:w="1080" w:type="dxa"/>
            <w:hideMark/>
          </w:tcPr>
          <w:p w14:paraId="2FC97D72" w14:textId="77777777" w:rsidR="001E3D72" w:rsidRDefault="001E3D72" w:rsidP="001E3D72">
            <w:pPr>
              <w:spacing w:line="276" w:lineRule="auto"/>
              <w:jc w:val="center"/>
            </w:pPr>
            <w:r>
              <w:t>64</w:t>
            </w:r>
          </w:p>
        </w:tc>
      </w:tr>
      <w:tr w:rsidR="001E3D72" w14:paraId="4F79C601" w14:textId="77777777" w:rsidTr="00366B2D">
        <w:trPr>
          <w:trHeight w:val="300"/>
        </w:trPr>
        <w:tc>
          <w:tcPr>
            <w:tcW w:w="1290" w:type="dxa"/>
            <w:vMerge/>
            <w:vAlign w:val="center"/>
            <w:hideMark/>
          </w:tcPr>
          <w:p w14:paraId="6B29BE1E" w14:textId="77777777" w:rsidR="001E3D72" w:rsidRDefault="001E3D72" w:rsidP="001E3D72">
            <w:pPr>
              <w:autoSpaceDE/>
              <w:autoSpaceDN/>
              <w:rPr>
                <w:b/>
                <w:bCs/>
              </w:rPr>
            </w:pPr>
          </w:p>
        </w:tc>
        <w:tc>
          <w:tcPr>
            <w:tcW w:w="2254" w:type="dxa"/>
            <w:tcMar>
              <w:top w:w="0" w:type="dxa"/>
              <w:left w:w="108" w:type="dxa"/>
              <w:bottom w:w="0" w:type="dxa"/>
              <w:right w:w="108" w:type="dxa"/>
            </w:tcMar>
            <w:hideMark/>
          </w:tcPr>
          <w:p w14:paraId="3B6F7345" w14:textId="77777777" w:rsidR="001E3D72" w:rsidRDefault="001E3D72" w:rsidP="001E3D72">
            <w:pPr>
              <w:spacing w:line="276" w:lineRule="auto"/>
            </w:pPr>
            <w:r>
              <w:t>Positions Allocated</w:t>
            </w:r>
          </w:p>
        </w:tc>
        <w:tc>
          <w:tcPr>
            <w:tcW w:w="1226" w:type="dxa"/>
            <w:tcMar>
              <w:top w:w="0" w:type="dxa"/>
              <w:left w:w="108" w:type="dxa"/>
              <w:bottom w:w="0" w:type="dxa"/>
              <w:right w:w="108" w:type="dxa"/>
            </w:tcMar>
            <w:hideMark/>
          </w:tcPr>
          <w:p w14:paraId="3DA5E6F9" w14:textId="77777777" w:rsidR="001E3D72" w:rsidRDefault="001E3D72" w:rsidP="001E3D72">
            <w:pPr>
              <w:spacing w:line="276" w:lineRule="auto"/>
              <w:jc w:val="center"/>
            </w:pPr>
            <w:r>
              <w:t>66</w:t>
            </w:r>
          </w:p>
        </w:tc>
        <w:tc>
          <w:tcPr>
            <w:tcW w:w="1170" w:type="dxa"/>
            <w:tcMar>
              <w:top w:w="0" w:type="dxa"/>
              <w:left w:w="108" w:type="dxa"/>
              <w:bottom w:w="0" w:type="dxa"/>
              <w:right w:w="108" w:type="dxa"/>
            </w:tcMar>
            <w:hideMark/>
          </w:tcPr>
          <w:p w14:paraId="209AAE2F" w14:textId="77777777" w:rsidR="001E3D72" w:rsidRDefault="001E3D72" w:rsidP="001E3D72">
            <w:pPr>
              <w:spacing w:line="276" w:lineRule="auto"/>
              <w:jc w:val="center"/>
            </w:pPr>
            <w:r>
              <w:t>66</w:t>
            </w:r>
          </w:p>
        </w:tc>
        <w:tc>
          <w:tcPr>
            <w:tcW w:w="1170" w:type="dxa"/>
            <w:tcMar>
              <w:top w:w="0" w:type="dxa"/>
              <w:left w:w="108" w:type="dxa"/>
              <w:bottom w:w="0" w:type="dxa"/>
              <w:right w:w="108" w:type="dxa"/>
            </w:tcMar>
            <w:hideMark/>
          </w:tcPr>
          <w:p w14:paraId="6918FEBD" w14:textId="77777777" w:rsidR="001E3D72" w:rsidRDefault="001E3D72" w:rsidP="001E3D72">
            <w:pPr>
              <w:spacing w:line="276" w:lineRule="auto"/>
              <w:jc w:val="center"/>
            </w:pPr>
            <w:r>
              <w:t>66</w:t>
            </w:r>
          </w:p>
        </w:tc>
        <w:tc>
          <w:tcPr>
            <w:tcW w:w="1080" w:type="dxa"/>
            <w:hideMark/>
          </w:tcPr>
          <w:p w14:paraId="7EF1854D" w14:textId="77777777" w:rsidR="001E3D72" w:rsidRDefault="001E3D72" w:rsidP="001E3D72">
            <w:pPr>
              <w:spacing w:line="276" w:lineRule="auto"/>
              <w:jc w:val="center"/>
            </w:pPr>
            <w:r>
              <w:t>64</w:t>
            </w:r>
          </w:p>
        </w:tc>
        <w:tc>
          <w:tcPr>
            <w:tcW w:w="1080" w:type="dxa"/>
            <w:hideMark/>
          </w:tcPr>
          <w:p w14:paraId="1293E9B7" w14:textId="77777777" w:rsidR="001E3D72" w:rsidRDefault="001E3D72" w:rsidP="001E3D72">
            <w:pPr>
              <w:spacing w:line="276" w:lineRule="auto"/>
              <w:jc w:val="center"/>
            </w:pPr>
            <w:r>
              <w:t>64</w:t>
            </w:r>
          </w:p>
        </w:tc>
      </w:tr>
      <w:tr w:rsidR="001E3D72" w14:paraId="210FEBAE" w14:textId="77777777" w:rsidTr="00366B2D">
        <w:trPr>
          <w:trHeight w:val="300"/>
        </w:trPr>
        <w:tc>
          <w:tcPr>
            <w:tcW w:w="1290" w:type="dxa"/>
            <w:vMerge/>
            <w:vAlign w:val="center"/>
            <w:hideMark/>
          </w:tcPr>
          <w:p w14:paraId="0DADFADE" w14:textId="77777777" w:rsidR="001E3D72" w:rsidRDefault="001E3D72" w:rsidP="001E3D72">
            <w:pPr>
              <w:autoSpaceDE/>
              <w:autoSpaceDN/>
              <w:rPr>
                <w:b/>
                <w:bCs/>
              </w:rPr>
            </w:pPr>
          </w:p>
        </w:tc>
        <w:tc>
          <w:tcPr>
            <w:tcW w:w="2254" w:type="dxa"/>
            <w:tcMar>
              <w:top w:w="0" w:type="dxa"/>
              <w:left w:w="108" w:type="dxa"/>
              <w:bottom w:w="0" w:type="dxa"/>
              <w:right w:w="108" w:type="dxa"/>
            </w:tcMar>
            <w:hideMark/>
          </w:tcPr>
          <w:p w14:paraId="667DDCB4" w14:textId="77777777" w:rsidR="001E3D72" w:rsidRDefault="001E3D72" w:rsidP="001E3D72">
            <w:pPr>
              <w:spacing w:line="276" w:lineRule="auto"/>
            </w:pPr>
            <w:r>
              <w:t>Positions Filled</w:t>
            </w:r>
          </w:p>
        </w:tc>
        <w:tc>
          <w:tcPr>
            <w:tcW w:w="1226" w:type="dxa"/>
            <w:tcMar>
              <w:top w:w="0" w:type="dxa"/>
              <w:left w:w="108" w:type="dxa"/>
              <w:bottom w:w="0" w:type="dxa"/>
              <w:right w:w="108" w:type="dxa"/>
            </w:tcMar>
            <w:hideMark/>
          </w:tcPr>
          <w:p w14:paraId="0588DF3A" w14:textId="77777777" w:rsidR="001E3D72" w:rsidRDefault="001E3D72" w:rsidP="001E3D72">
            <w:pPr>
              <w:spacing w:line="276" w:lineRule="auto"/>
              <w:jc w:val="center"/>
            </w:pPr>
            <w:r>
              <w:t>49</w:t>
            </w:r>
          </w:p>
        </w:tc>
        <w:tc>
          <w:tcPr>
            <w:tcW w:w="1170" w:type="dxa"/>
            <w:tcMar>
              <w:top w:w="0" w:type="dxa"/>
              <w:left w:w="108" w:type="dxa"/>
              <w:bottom w:w="0" w:type="dxa"/>
              <w:right w:w="108" w:type="dxa"/>
            </w:tcMar>
            <w:hideMark/>
          </w:tcPr>
          <w:p w14:paraId="6EE874E1" w14:textId="77777777" w:rsidR="001E3D72" w:rsidRDefault="001E3D72" w:rsidP="001E3D72">
            <w:pPr>
              <w:spacing w:line="276" w:lineRule="auto"/>
              <w:jc w:val="center"/>
            </w:pPr>
            <w:r>
              <w:t>53</w:t>
            </w:r>
          </w:p>
        </w:tc>
        <w:tc>
          <w:tcPr>
            <w:tcW w:w="1170" w:type="dxa"/>
            <w:tcMar>
              <w:top w:w="0" w:type="dxa"/>
              <w:left w:w="108" w:type="dxa"/>
              <w:bottom w:w="0" w:type="dxa"/>
              <w:right w:w="108" w:type="dxa"/>
            </w:tcMar>
            <w:hideMark/>
          </w:tcPr>
          <w:p w14:paraId="66D8E082" w14:textId="77777777" w:rsidR="001E3D72" w:rsidRDefault="001E3D72" w:rsidP="001E3D72">
            <w:pPr>
              <w:spacing w:line="276" w:lineRule="auto"/>
              <w:jc w:val="center"/>
            </w:pPr>
            <w:r>
              <w:t>52</w:t>
            </w:r>
          </w:p>
        </w:tc>
        <w:tc>
          <w:tcPr>
            <w:tcW w:w="1080" w:type="dxa"/>
            <w:hideMark/>
          </w:tcPr>
          <w:p w14:paraId="2929D656" w14:textId="77777777" w:rsidR="001E3D72" w:rsidRDefault="001E3D72" w:rsidP="001E3D72">
            <w:pPr>
              <w:spacing w:line="276" w:lineRule="auto"/>
              <w:jc w:val="center"/>
            </w:pPr>
            <w:r>
              <w:t>46</w:t>
            </w:r>
          </w:p>
        </w:tc>
        <w:tc>
          <w:tcPr>
            <w:tcW w:w="1080" w:type="dxa"/>
            <w:hideMark/>
          </w:tcPr>
          <w:p w14:paraId="4510656D" w14:textId="77777777" w:rsidR="001E3D72" w:rsidRDefault="001E3D72" w:rsidP="001E3D72">
            <w:pPr>
              <w:spacing w:line="276" w:lineRule="auto"/>
              <w:jc w:val="center"/>
            </w:pPr>
            <w:r>
              <w:t>50</w:t>
            </w:r>
          </w:p>
        </w:tc>
      </w:tr>
      <w:tr w:rsidR="001E3D72" w14:paraId="442A5371" w14:textId="77777777" w:rsidTr="00366B2D">
        <w:trPr>
          <w:trHeight w:val="300"/>
        </w:trPr>
        <w:tc>
          <w:tcPr>
            <w:tcW w:w="1290" w:type="dxa"/>
            <w:vMerge/>
            <w:vAlign w:val="center"/>
            <w:hideMark/>
          </w:tcPr>
          <w:p w14:paraId="7AD126F5" w14:textId="77777777" w:rsidR="001E3D72" w:rsidRDefault="001E3D72" w:rsidP="001E3D72">
            <w:pPr>
              <w:autoSpaceDE/>
              <w:autoSpaceDN/>
              <w:rPr>
                <w:b/>
                <w:bCs/>
              </w:rPr>
            </w:pPr>
          </w:p>
        </w:tc>
        <w:tc>
          <w:tcPr>
            <w:tcW w:w="2254" w:type="dxa"/>
            <w:tcMar>
              <w:top w:w="0" w:type="dxa"/>
              <w:left w:w="108" w:type="dxa"/>
              <w:bottom w:w="0" w:type="dxa"/>
              <w:right w:w="108" w:type="dxa"/>
            </w:tcMar>
            <w:hideMark/>
          </w:tcPr>
          <w:p w14:paraId="44D08069" w14:textId="77777777" w:rsidR="001E3D72" w:rsidRDefault="001E3D72" w:rsidP="001E3D72">
            <w:pPr>
              <w:spacing w:line="276" w:lineRule="auto"/>
            </w:pPr>
            <w:r>
              <w:t>Vacancies</w:t>
            </w:r>
          </w:p>
        </w:tc>
        <w:tc>
          <w:tcPr>
            <w:tcW w:w="1226" w:type="dxa"/>
            <w:tcMar>
              <w:top w:w="0" w:type="dxa"/>
              <w:left w:w="108" w:type="dxa"/>
              <w:bottom w:w="0" w:type="dxa"/>
              <w:right w:w="108" w:type="dxa"/>
            </w:tcMar>
            <w:hideMark/>
          </w:tcPr>
          <w:p w14:paraId="0DDB1C48" w14:textId="77777777" w:rsidR="001E3D72" w:rsidRDefault="001E3D72" w:rsidP="001E3D72">
            <w:pPr>
              <w:spacing w:line="276" w:lineRule="auto"/>
              <w:jc w:val="center"/>
            </w:pPr>
            <w:r>
              <w:t>13</w:t>
            </w:r>
          </w:p>
        </w:tc>
        <w:tc>
          <w:tcPr>
            <w:tcW w:w="1170" w:type="dxa"/>
            <w:tcMar>
              <w:top w:w="0" w:type="dxa"/>
              <w:left w:w="108" w:type="dxa"/>
              <w:bottom w:w="0" w:type="dxa"/>
              <w:right w:w="108" w:type="dxa"/>
            </w:tcMar>
            <w:hideMark/>
          </w:tcPr>
          <w:p w14:paraId="29D8AB5B" w14:textId="77777777" w:rsidR="001E3D72" w:rsidRDefault="001E3D72" w:rsidP="001E3D72">
            <w:pPr>
              <w:spacing w:line="276" w:lineRule="auto"/>
              <w:jc w:val="center"/>
            </w:pPr>
            <w:r>
              <w:t>13</w:t>
            </w:r>
          </w:p>
        </w:tc>
        <w:tc>
          <w:tcPr>
            <w:tcW w:w="1170" w:type="dxa"/>
            <w:tcMar>
              <w:top w:w="0" w:type="dxa"/>
              <w:left w:w="108" w:type="dxa"/>
              <w:bottom w:w="0" w:type="dxa"/>
              <w:right w:w="108" w:type="dxa"/>
            </w:tcMar>
            <w:hideMark/>
          </w:tcPr>
          <w:p w14:paraId="78329A8C" w14:textId="77777777" w:rsidR="001E3D72" w:rsidRDefault="001E3D72" w:rsidP="001E3D72">
            <w:pPr>
              <w:spacing w:line="276" w:lineRule="auto"/>
              <w:jc w:val="center"/>
            </w:pPr>
            <w:r>
              <w:t>14</w:t>
            </w:r>
          </w:p>
        </w:tc>
        <w:tc>
          <w:tcPr>
            <w:tcW w:w="1080" w:type="dxa"/>
            <w:hideMark/>
          </w:tcPr>
          <w:p w14:paraId="485FDA8E" w14:textId="77777777" w:rsidR="001E3D72" w:rsidRDefault="001E3D72" w:rsidP="001E3D72">
            <w:pPr>
              <w:spacing w:line="276" w:lineRule="auto"/>
              <w:jc w:val="center"/>
            </w:pPr>
            <w:r>
              <w:t>18</w:t>
            </w:r>
          </w:p>
        </w:tc>
        <w:tc>
          <w:tcPr>
            <w:tcW w:w="1080" w:type="dxa"/>
            <w:hideMark/>
          </w:tcPr>
          <w:p w14:paraId="2050506E" w14:textId="77777777" w:rsidR="001E3D72" w:rsidRDefault="001E3D72" w:rsidP="001E3D72">
            <w:pPr>
              <w:spacing w:line="276" w:lineRule="auto"/>
              <w:jc w:val="center"/>
            </w:pPr>
            <w:r>
              <w:t>14</w:t>
            </w:r>
          </w:p>
        </w:tc>
      </w:tr>
      <w:tr w:rsidR="001E3D72" w14:paraId="78F6D5E1" w14:textId="77777777" w:rsidTr="00366B2D">
        <w:trPr>
          <w:trHeight w:val="538"/>
        </w:trPr>
        <w:tc>
          <w:tcPr>
            <w:tcW w:w="1290" w:type="dxa"/>
            <w:vMerge/>
            <w:vAlign w:val="center"/>
            <w:hideMark/>
          </w:tcPr>
          <w:p w14:paraId="26CFFAD5" w14:textId="77777777" w:rsidR="001E3D72" w:rsidRDefault="001E3D72" w:rsidP="001E3D72">
            <w:pPr>
              <w:autoSpaceDE/>
              <w:autoSpaceDN/>
              <w:rPr>
                <w:b/>
                <w:bCs/>
              </w:rPr>
            </w:pPr>
          </w:p>
        </w:tc>
        <w:tc>
          <w:tcPr>
            <w:tcW w:w="2254" w:type="dxa"/>
            <w:tcMar>
              <w:top w:w="0" w:type="dxa"/>
              <w:left w:w="108" w:type="dxa"/>
              <w:bottom w:w="0" w:type="dxa"/>
              <w:right w:w="108" w:type="dxa"/>
            </w:tcMar>
            <w:hideMark/>
          </w:tcPr>
          <w:p w14:paraId="13D67C9F" w14:textId="77777777" w:rsidR="001E3D72" w:rsidRDefault="001E3D72" w:rsidP="001E3D72">
            <w:pPr>
              <w:spacing w:line="276" w:lineRule="auto"/>
            </w:pPr>
            <w:r>
              <w:t>Percent of Benchmarks Filled</w:t>
            </w:r>
          </w:p>
        </w:tc>
        <w:tc>
          <w:tcPr>
            <w:tcW w:w="1226" w:type="dxa"/>
            <w:tcMar>
              <w:top w:w="0" w:type="dxa"/>
              <w:left w:w="108" w:type="dxa"/>
              <w:bottom w:w="0" w:type="dxa"/>
              <w:right w:w="108" w:type="dxa"/>
            </w:tcMar>
            <w:hideMark/>
          </w:tcPr>
          <w:p w14:paraId="26779EEE" w14:textId="77777777" w:rsidR="001E3D72" w:rsidRDefault="001E3D72" w:rsidP="001E3D72">
            <w:pPr>
              <w:spacing w:line="276" w:lineRule="auto"/>
              <w:jc w:val="center"/>
            </w:pPr>
            <w:r>
              <w:t>77</w:t>
            </w:r>
          </w:p>
        </w:tc>
        <w:tc>
          <w:tcPr>
            <w:tcW w:w="1170" w:type="dxa"/>
            <w:tcMar>
              <w:top w:w="0" w:type="dxa"/>
              <w:left w:w="108" w:type="dxa"/>
              <w:bottom w:w="0" w:type="dxa"/>
              <w:right w:w="108" w:type="dxa"/>
            </w:tcMar>
            <w:hideMark/>
          </w:tcPr>
          <w:p w14:paraId="5618C8A8" w14:textId="77777777" w:rsidR="001E3D72" w:rsidRDefault="001E3D72" w:rsidP="001E3D72">
            <w:pPr>
              <w:spacing w:line="276" w:lineRule="auto"/>
              <w:jc w:val="center"/>
            </w:pPr>
            <w:r>
              <w:t>83</w:t>
            </w:r>
          </w:p>
        </w:tc>
        <w:tc>
          <w:tcPr>
            <w:tcW w:w="1170" w:type="dxa"/>
            <w:tcMar>
              <w:top w:w="0" w:type="dxa"/>
              <w:left w:w="108" w:type="dxa"/>
              <w:bottom w:w="0" w:type="dxa"/>
              <w:right w:w="108" w:type="dxa"/>
            </w:tcMar>
            <w:hideMark/>
          </w:tcPr>
          <w:p w14:paraId="0FD6B7B7" w14:textId="77777777" w:rsidR="001E3D72" w:rsidRDefault="001E3D72" w:rsidP="001E3D72">
            <w:pPr>
              <w:spacing w:line="276" w:lineRule="auto"/>
              <w:jc w:val="center"/>
            </w:pPr>
            <w:r>
              <w:t>81</w:t>
            </w:r>
          </w:p>
        </w:tc>
        <w:tc>
          <w:tcPr>
            <w:tcW w:w="1080" w:type="dxa"/>
            <w:hideMark/>
          </w:tcPr>
          <w:p w14:paraId="3B52A36C" w14:textId="77777777" w:rsidR="001E3D72" w:rsidRDefault="001E3D72" w:rsidP="001E3D72">
            <w:pPr>
              <w:spacing w:line="276" w:lineRule="auto"/>
              <w:jc w:val="center"/>
            </w:pPr>
            <w:r>
              <w:t>72</w:t>
            </w:r>
          </w:p>
        </w:tc>
        <w:tc>
          <w:tcPr>
            <w:tcW w:w="1080" w:type="dxa"/>
            <w:hideMark/>
          </w:tcPr>
          <w:p w14:paraId="6C544C0F" w14:textId="77777777" w:rsidR="001E3D72" w:rsidRDefault="001E3D72" w:rsidP="001E3D72">
            <w:pPr>
              <w:spacing w:line="276" w:lineRule="auto"/>
              <w:jc w:val="center"/>
            </w:pPr>
            <w:r>
              <w:t>78</w:t>
            </w:r>
          </w:p>
        </w:tc>
      </w:tr>
      <w:tr w:rsidR="001E3D72" w14:paraId="1DF1CC06" w14:textId="77777777" w:rsidTr="00366B2D">
        <w:trPr>
          <w:trHeight w:val="300"/>
        </w:trPr>
        <w:tc>
          <w:tcPr>
            <w:tcW w:w="1290" w:type="dxa"/>
            <w:vMerge w:val="restart"/>
            <w:tcMar>
              <w:top w:w="0" w:type="dxa"/>
              <w:left w:w="108" w:type="dxa"/>
              <w:bottom w:w="0" w:type="dxa"/>
              <w:right w:w="108" w:type="dxa"/>
            </w:tcMar>
            <w:textDirection w:val="btLr"/>
            <w:vAlign w:val="center"/>
            <w:hideMark/>
          </w:tcPr>
          <w:p w14:paraId="30781173" w14:textId="77777777" w:rsidR="001E3D72" w:rsidRDefault="001E3D72" w:rsidP="001E3D72">
            <w:pPr>
              <w:spacing w:line="276" w:lineRule="auto"/>
              <w:ind w:left="113" w:right="113"/>
              <w:jc w:val="center"/>
              <w:rPr>
                <w:b/>
                <w:bCs/>
              </w:rPr>
            </w:pPr>
            <w:r>
              <w:rPr>
                <w:b/>
                <w:bCs/>
              </w:rPr>
              <w:t>Health</w:t>
            </w:r>
          </w:p>
        </w:tc>
        <w:tc>
          <w:tcPr>
            <w:tcW w:w="2254" w:type="dxa"/>
            <w:tcMar>
              <w:top w:w="0" w:type="dxa"/>
              <w:left w:w="108" w:type="dxa"/>
              <w:bottom w:w="0" w:type="dxa"/>
              <w:right w:w="108" w:type="dxa"/>
            </w:tcMar>
            <w:hideMark/>
          </w:tcPr>
          <w:p w14:paraId="0942343C" w14:textId="77777777" w:rsidR="001E3D72" w:rsidRDefault="001E3D72" w:rsidP="001E3D72">
            <w:pPr>
              <w:spacing w:line="276" w:lineRule="auto"/>
            </w:pPr>
            <w:r>
              <w:t>Benchmark</w:t>
            </w:r>
          </w:p>
        </w:tc>
        <w:tc>
          <w:tcPr>
            <w:tcW w:w="1226" w:type="dxa"/>
            <w:tcMar>
              <w:top w:w="0" w:type="dxa"/>
              <w:left w:w="108" w:type="dxa"/>
              <w:bottom w:w="0" w:type="dxa"/>
              <w:right w:w="108" w:type="dxa"/>
            </w:tcMar>
            <w:hideMark/>
          </w:tcPr>
          <w:p w14:paraId="4BDA91E7" w14:textId="77777777" w:rsidR="001E3D72" w:rsidRDefault="001E3D72" w:rsidP="001E3D72">
            <w:pPr>
              <w:spacing w:line="276" w:lineRule="auto"/>
              <w:jc w:val="center"/>
            </w:pPr>
            <w:r>
              <w:t>50</w:t>
            </w:r>
          </w:p>
        </w:tc>
        <w:tc>
          <w:tcPr>
            <w:tcW w:w="1170" w:type="dxa"/>
            <w:tcMar>
              <w:top w:w="0" w:type="dxa"/>
              <w:left w:w="108" w:type="dxa"/>
              <w:bottom w:w="0" w:type="dxa"/>
              <w:right w:w="108" w:type="dxa"/>
            </w:tcMar>
            <w:hideMark/>
          </w:tcPr>
          <w:p w14:paraId="1B1C15EC" w14:textId="77777777" w:rsidR="001E3D72" w:rsidRDefault="001E3D72" w:rsidP="001E3D72">
            <w:pPr>
              <w:spacing w:line="276" w:lineRule="auto"/>
              <w:jc w:val="center"/>
            </w:pPr>
            <w:r>
              <w:t>50</w:t>
            </w:r>
          </w:p>
        </w:tc>
        <w:tc>
          <w:tcPr>
            <w:tcW w:w="1170" w:type="dxa"/>
            <w:tcMar>
              <w:top w:w="0" w:type="dxa"/>
              <w:left w:w="108" w:type="dxa"/>
              <w:bottom w:w="0" w:type="dxa"/>
              <w:right w:w="108" w:type="dxa"/>
            </w:tcMar>
            <w:hideMark/>
          </w:tcPr>
          <w:p w14:paraId="1F81D1C2" w14:textId="77777777" w:rsidR="001E3D72" w:rsidRDefault="001E3D72" w:rsidP="001E3D72">
            <w:pPr>
              <w:spacing w:line="276" w:lineRule="auto"/>
              <w:jc w:val="center"/>
            </w:pPr>
            <w:r>
              <w:t>50</w:t>
            </w:r>
          </w:p>
        </w:tc>
        <w:tc>
          <w:tcPr>
            <w:tcW w:w="1080" w:type="dxa"/>
            <w:hideMark/>
          </w:tcPr>
          <w:p w14:paraId="5258BCD8" w14:textId="77777777" w:rsidR="001E3D72" w:rsidRDefault="001E3D72" w:rsidP="001E3D72">
            <w:pPr>
              <w:spacing w:line="276" w:lineRule="auto"/>
              <w:jc w:val="center"/>
            </w:pPr>
            <w:r>
              <w:t>50</w:t>
            </w:r>
          </w:p>
        </w:tc>
        <w:tc>
          <w:tcPr>
            <w:tcW w:w="1080" w:type="dxa"/>
            <w:hideMark/>
          </w:tcPr>
          <w:p w14:paraId="31517B3E" w14:textId="77777777" w:rsidR="001E3D72" w:rsidRDefault="001E3D72" w:rsidP="001E3D72">
            <w:pPr>
              <w:spacing w:line="276" w:lineRule="auto"/>
              <w:jc w:val="center"/>
            </w:pPr>
            <w:r>
              <w:t>50</w:t>
            </w:r>
          </w:p>
        </w:tc>
      </w:tr>
      <w:tr w:rsidR="001E3D72" w14:paraId="383C31BA" w14:textId="77777777" w:rsidTr="00366B2D">
        <w:trPr>
          <w:trHeight w:val="300"/>
        </w:trPr>
        <w:tc>
          <w:tcPr>
            <w:tcW w:w="1290" w:type="dxa"/>
            <w:vMerge/>
            <w:vAlign w:val="center"/>
            <w:hideMark/>
          </w:tcPr>
          <w:p w14:paraId="602CB521" w14:textId="77777777" w:rsidR="001E3D72" w:rsidRDefault="001E3D72" w:rsidP="001E3D72">
            <w:pPr>
              <w:autoSpaceDE/>
              <w:autoSpaceDN/>
              <w:rPr>
                <w:b/>
                <w:bCs/>
              </w:rPr>
            </w:pPr>
          </w:p>
        </w:tc>
        <w:tc>
          <w:tcPr>
            <w:tcW w:w="2254" w:type="dxa"/>
            <w:tcMar>
              <w:top w:w="0" w:type="dxa"/>
              <w:left w:w="108" w:type="dxa"/>
              <w:bottom w:w="0" w:type="dxa"/>
              <w:right w:w="108" w:type="dxa"/>
            </w:tcMar>
            <w:hideMark/>
          </w:tcPr>
          <w:p w14:paraId="2E2DA09C" w14:textId="77777777" w:rsidR="001E3D72" w:rsidRDefault="001E3D72" w:rsidP="001E3D72">
            <w:pPr>
              <w:spacing w:line="276" w:lineRule="auto"/>
            </w:pPr>
            <w:r>
              <w:t>Positions Allocated</w:t>
            </w:r>
          </w:p>
        </w:tc>
        <w:tc>
          <w:tcPr>
            <w:tcW w:w="1226" w:type="dxa"/>
            <w:tcMar>
              <w:top w:w="0" w:type="dxa"/>
              <w:left w:w="108" w:type="dxa"/>
              <w:bottom w:w="0" w:type="dxa"/>
              <w:right w:w="108" w:type="dxa"/>
            </w:tcMar>
            <w:hideMark/>
          </w:tcPr>
          <w:p w14:paraId="2777508C" w14:textId="77777777" w:rsidR="001E3D72" w:rsidRDefault="001E3D72" w:rsidP="001E3D72">
            <w:pPr>
              <w:spacing w:line="276" w:lineRule="auto"/>
              <w:jc w:val="center"/>
            </w:pPr>
            <w:r>
              <w:t>45</w:t>
            </w:r>
          </w:p>
        </w:tc>
        <w:tc>
          <w:tcPr>
            <w:tcW w:w="1170" w:type="dxa"/>
            <w:tcMar>
              <w:top w:w="0" w:type="dxa"/>
              <w:left w:w="108" w:type="dxa"/>
              <w:bottom w:w="0" w:type="dxa"/>
              <w:right w:w="108" w:type="dxa"/>
            </w:tcMar>
            <w:hideMark/>
          </w:tcPr>
          <w:p w14:paraId="2759D677" w14:textId="77777777" w:rsidR="001E3D72" w:rsidRDefault="001E3D72" w:rsidP="001E3D72">
            <w:pPr>
              <w:spacing w:line="276" w:lineRule="auto"/>
              <w:jc w:val="center"/>
            </w:pPr>
            <w:r>
              <w:t>45</w:t>
            </w:r>
          </w:p>
        </w:tc>
        <w:tc>
          <w:tcPr>
            <w:tcW w:w="1170" w:type="dxa"/>
            <w:tcMar>
              <w:top w:w="0" w:type="dxa"/>
              <w:left w:w="108" w:type="dxa"/>
              <w:bottom w:w="0" w:type="dxa"/>
              <w:right w:w="108" w:type="dxa"/>
            </w:tcMar>
            <w:hideMark/>
          </w:tcPr>
          <w:p w14:paraId="3C855146" w14:textId="77777777" w:rsidR="001E3D72" w:rsidRDefault="001E3D72" w:rsidP="001E3D72">
            <w:pPr>
              <w:spacing w:line="276" w:lineRule="auto"/>
              <w:jc w:val="center"/>
            </w:pPr>
            <w:r>
              <w:t>45</w:t>
            </w:r>
          </w:p>
        </w:tc>
        <w:tc>
          <w:tcPr>
            <w:tcW w:w="1080" w:type="dxa"/>
            <w:hideMark/>
          </w:tcPr>
          <w:p w14:paraId="618BAD30" w14:textId="77777777" w:rsidR="001E3D72" w:rsidRDefault="001E3D72" w:rsidP="001E3D72">
            <w:pPr>
              <w:spacing w:line="276" w:lineRule="auto"/>
              <w:jc w:val="center"/>
            </w:pPr>
            <w:r>
              <w:t>45</w:t>
            </w:r>
          </w:p>
        </w:tc>
        <w:tc>
          <w:tcPr>
            <w:tcW w:w="1080" w:type="dxa"/>
            <w:hideMark/>
          </w:tcPr>
          <w:p w14:paraId="46800492" w14:textId="6129C2CD" w:rsidR="001E3D72" w:rsidRDefault="001E3D72" w:rsidP="001E3D72">
            <w:pPr>
              <w:spacing w:line="276" w:lineRule="auto"/>
              <w:jc w:val="center"/>
            </w:pPr>
            <w:r>
              <w:t>46</w:t>
            </w:r>
          </w:p>
        </w:tc>
      </w:tr>
      <w:tr w:rsidR="001E3D72" w14:paraId="04DB773B" w14:textId="77777777" w:rsidTr="00366B2D">
        <w:trPr>
          <w:trHeight w:val="300"/>
        </w:trPr>
        <w:tc>
          <w:tcPr>
            <w:tcW w:w="1290" w:type="dxa"/>
            <w:vMerge/>
            <w:vAlign w:val="center"/>
            <w:hideMark/>
          </w:tcPr>
          <w:p w14:paraId="784C7A7E" w14:textId="77777777" w:rsidR="001E3D72" w:rsidRDefault="001E3D72" w:rsidP="001E3D72">
            <w:pPr>
              <w:autoSpaceDE/>
              <w:autoSpaceDN/>
              <w:rPr>
                <w:b/>
                <w:bCs/>
              </w:rPr>
            </w:pPr>
          </w:p>
        </w:tc>
        <w:tc>
          <w:tcPr>
            <w:tcW w:w="2254" w:type="dxa"/>
            <w:tcMar>
              <w:top w:w="0" w:type="dxa"/>
              <w:left w:w="108" w:type="dxa"/>
              <w:bottom w:w="0" w:type="dxa"/>
              <w:right w:w="108" w:type="dxa"/>
            </w:tcMar>
            <w:hideMark/>
          </w:tcPr>
          <w:p w14:paraId="29043062" w14:textId="77777777" w:rsidR="001E3D72" w:rsidRDefault="001E3D72" w:rsidP="001E3D72">
            <w:pPr>
              <w:spacing w:line="276" w:lineRule="auto"/>
            </w:pPr>
            <w:r>
              <w:t>Positions Filled</w:t>
            </w:r>
          </w:p>
        </w:tc>
        <w:tc>
          <w:tcPr>
            <w:tcW w:w="1226" w:type="dxa"/>
            <w:tcMar>
              <w:top w:w="0" w:type="dxa"/>
              <w:left w:w="108" w:type="dxa"/>
              <w:bottom w:w="0" w:type="dxa"/>
              <w:right w:w="108" w:type="dxa"/>
            </w:tcMar>
            <w:hideMark/>
          </w:tcPr>
          <w:p w14:paraId="20C0D5C7" w14:textId="77777777" w:rsidR="001E3D72" w:rsidRDefault="001E3D72" w:rsidP="001E3D72">
            <w:pPr>
              <w:spacing w:line="276" w:lineRule="auto"/>
              <w:jc w:val="center"/>
            </w:pPr>
            <w:r>
              <w:t>39</w:t>
            </w:r>
          </w:p>
        </w:tc>
        <w:tc>
          <w:tcPr>
            <w:tcW w:w="1170" w:type="dxa"/>
            <w:tcMar>
              <w:top w:w="0" w:type="dxa"/>
              <w:left w:w="108" w:type="dxa"/>
              <w:bottom w:w="0" w:type="dxa"/>
              <w:right w:w="108" w:type="dxa"/>
            </w:tcMar>
            <w:hideMark/>
          </w:tcPr>
          <w:p w14:paraId="20D5F349" w14:textId="77777777" w:rsidR="001E3D72" w:rsidRDefault="001E3D72" w:rsidP="001E3D72">
            <w:pPr>
              <w:spacing w:line="276" w:lineRule="auto"/>
              <w:jc w:val="center"/>
            </w:pPr>
            <w:r>
              <w:t>37</w:t>
            </w:r>
          </w:p>
        </w:tc>
        <w:tc>
          <w:tcPr>
            <w:tcW w:w="1170" w:type="dxa"/>
            <w:tcMar>
              <w:top w:w="0" w:type="dxa"/>
              <w:left w:w="108" w:type="dxa"/>
              <w:bottom w:w="0" w:type="dxa"/>
              <w:right w:w="108" w:type="dxa"/>
            </w:tcMar>
            <w:hideMark/>
          </w:tcPr>
          <w:p w14:paraId="4AE2EFA4" w14:textId="77777777" w:rsidR="001E3D72" w:rsidRDefault="001E3D72" w:rsidP="001E3D72">
            <w:pPr>
              <w:spacing w:line="276" w:lineRule="auto"/>
              <w:jc w:val="center"/>
            </w:pPr>
            <w:r>
              <w:t>32</w:t>
            </w:r>
          </w:p>
        </w:tc>
        <w:tc>
          <w:tcPr>
            <w:tcW w:w="1080" w:type="dxa"/>
            <w:hideMark/>
          </w:tcPr>
          <w:p w14:paraId="7F104249" w14:textId="77777777" w:rsidR="001E3D72" w:rsidRDefault="001E3D72" w:rsidP="001E3D72">
            <w:pPr>
              <w:spacing w:line="276" w:lineRule="auto"/>
              <w:jc w:val="center"/>
            </w:pPr>
            <w:r>
              <w:t>33</w:t>
            </w:r>
          </w:p>
        </w:tc>
        <w:tc>
          <w:tcPr>
            <w:tcW w:w="1080" w:type="dxa"/>
            <w:hideMark/>
          </w:tcPr>
          <w:p w14:paraId="2DCBF750" w14:textId="77777777" w:rsidR="001E3D72" w:rsidRDefault="001E3D72" w:rsidP="001E3D72">
            <w:pPr>
              <w:spacing w:line="276" w:lineRule="auto"/>
              <w:jc w:val="center"/>
            </w:pPr>
            <w:r>
              <w:t>35</w:t>
            </w:r>
          </w:p>
        </w:tc>
      </w:tr>
      <w:tr w:rsidR="001E3D72" w14:paraId="58C22194" w14:textId="77777777" w:rsidTr="00366B2D">
        <w:trPr>
          <w:trHeight w:val="300"/>
        </w:trPr>
        <w:tc>
          <w:tcPr>
            <w:tcW w:w="1290" w:type="dxa"/>
            <w:vMerge/>
            <w:vAlign w:val="center"/>
            <w:hideMark/>
          </w:tcPr>
          <w:p w14:paraId="7279CAA1" w14:textId="77777777" w:rsidR="001E3D72" w:rsidRDefault="001E3D72" w:rsidP="001E3D72">
            <w:pPr>
              <w:autoSpaceDE/>
              <w:autoSpaceDN/>
              <w:rPr>
                <w:b/>
                <w:bCs/>
              </w:rPr>
            </w:pPr>
          </w:p>
        </w:tc>
        <w:tc>
          <w:tcPr>
            <w:tcW w:w="2254" w:type="dxa"/>
            <w:tcMar>
              <w:top w:w="0" w:type="dxa"/>
              <w:left w:w="108" w:type="dxa"/>
              <w:bottom w:w="0" w:type="dxa"/>
              <w:right w:w="108" w:type="dxa"/>
            </w:tcMar>
            <w:hideMark/>
          </w:tcPr>
          <w:p w14:paraId="455F652B" w14:textId="77777777" w:rsidR="001E3D72" w:rsidRDefault="001E3D72" w:rsidP="001E3D72">
            <w:pPr>
              <w:spacing w:line="276" w:lineRule="auto"/>
            </w:pPr>
            <w:r>
              <w:t>Vacancies</w:t>
            </w:r>
          </w:p>
        </w:tc>
        <w:tc>
          <w:tcPr>
            <w:tcW w:w="1226" w:type="dxa"/>
            <w:tcMar>
              <w:top w:w="0" w:type="dxa"/>
              <w:left w:w="108" w:type="dxa"/>
              <w:bottom w:w="0" w:type="dxa"/>
              <w:right w:w="108" w:type="dxa"/>
            </w:tcMar>
            <w:hideMark/>
          </w:tcPr>
          <w:p w14:paraId="77B90500" w14:textId="77777777" w:rsidR="001E3D72" w:rsidRDefault="001E3D72" w:rsidP="001E3D72">
            <w:pPr>
              <w:spacing w:line="276" w:lineRule="auto"/>
              <w:jc w:val="center"/>
            </w:pPr>
            <w:r>
              <w:t>6</w:t>
            </w:r>
          </w:p>
        </w:tc>
        <w:tc>
          <w:tcPr>
            <w:tcW w:w="1170" w:type="dxa"/>
            <w:tcMar>
              <w:top w:w="0" w:type="dxa"/>
              <w:left w:w="108" w:type="dxa"/>
              <w:bottom w:w="0" w:type="dxa"/>
              <w:right w:w="108" w:type="dxa"/>
            </w:tcMar>
            <w:hideMark/>
          </w:tcPr>
          <w:p w14:paraId="1001BDCD" w14:textId="77777777" w:rsidR="001E3D72" w:rsidRDefault="001E3D72" w:rsidP="001E3D72">
            <w:pPr>
              <w:spacing w:line="276" w:lineRule="auto"/>
              <w:jc w:val="center"/>
            </w:pPr>
            <w:r>
              <w:t>8</w:t>
            </w:r>
          </w:p>
        </w:tc>
        <w:tc>
          <w:tcPr>
            <w:tcW w:w="1170" w:type="dxa"/>
            <w:tcMar>
              <w:top w:w="0" w:type="dxa"/>
              <w:left w:w="108" w:type="dxa"/>
              <w:bottom w:w="0" w:type="dxa"/>
              <w:right w:w="108" w:type="dxa"/>
            </w:tcMar>
            <w:hideMark/>
          </w:tcPr>
          <w:p w14:paraId="2DDB0B0F" w14:textId="77777777" w:rsidR="001E3D72" w:rsidRDefault="001E3D72" w:rsidP="001E3D72">
            <w:pPr>
              <w:spacing w:line="276" w:lineRule="auto"/>
              <w:jc w:val="center"/>
            </w:pPr>
            <w:r>
              <w:t>13</w:t>
            </w:r>
          </w:p>
        </w:tc>
        <w:tc>
          <w:tcPr>
            <w:tcW w:w="1080" w:type="dxa"/>
            <w:hideMark/>
          </w:tcPr>
          <w:p w14:paraId="47441105" w14:textId="77777777" w:rsidR="001E3D72" w:rsidRDefault="001E3D72" w:rsidP="001E3D72">
            <w:pPr>
              <w:spacing w:line="276" w:lineRule="auto"/>
              <w:jc w:val="center"/>
            </w:pPr>
            <w:r>
              <w:t>12</w:t>
            </w:r>
          </w:p>
        </w:tc>
        <w:tc>
          <w:tcPr>
            <w:tcW w:w="1080" w:type="dxa"/>
            <w:hideMark/>
          </w:tcPr>
          <w:p w14:paraId="194DCD1A" w14:textId="77777777" w:rsidR="001E3D72" w:rsidRDefault="001E3D72" w:rsidP="001E3D72">
            <w:pPr>
              <w:spacing w:line="276" w:lineRule="auto"/>
              <w:jc w:val="center"/>
            </w:pPr>
            <w:r>
              <w:t>11</w:t>
            </w:r>
          </w:p>
        </w:tc>
      </w:tr>
      <w:tr w:rsidR="001E3D72" w14:paraId="321AC598" w14:textId="77777777" w:rsidTr="00366B2D">
        <w:trPr>
          <w:trHeight w:val="300"/>
        </w:trPr>
        <w:tc>
          <w:tcPr>
            <w:tcW w:w="1290" w:type="dxa"/>
            <w:vMerge/>
            <w:vAlign w:val="center"/>
            <w:hideMark/>
          </w:tcPr>
          <w:p w14:paraId="2A8F2161" w14:textId="77777777" w:rsidR="001E3D72" w:rsidRDefault="001E3D72" w:rsidP="001E3D72">
            <w:pPr>
              <w:autoSpaceDE/>
              <w:autoSpaceDN/>
              <w:rPr>
                <w:b/>
                <w:bCs/>
              </w:rPr>
            </w:pPr>
          </w:p>
        </w:tc>
        <w:tc>
          <w:tcPr>
            <w:tcW w:w="2254" w:type="dxa"/>
            <w:tcMar>
              <w:top w:w="0" w:type="dxa"/>
              <w:left w:w="108" w:type="dxa"/>
              <w:bottom w:w="0" w:type="dxa"/>
              <w:right w:w="108" w:type="dxa"/>
            </w:tcMar>
            <w:hideMark/>
          </w:tcPr>
          <w:p w14:paraId="50004E52" w14:textId="77777777" w:rsidR="001E3D72" w:rsidRDefault="001E3D72" w:rsidP="001E3D72">
            <w:pPr>
              <w:spacing w:line="276" w:lineRule="auto"/>
            </w:pPr>
            <w:r>
              <w:t>Percent of Benchmarks</w:t>
            </w:r>
            <w:r w:rsidRPr="00CC2B8A">
              <w:t xml:space="preserve"> </w:t>
            </w:r>
            <w:r>
              <w:t>Filled</w:t>
            </w:r>
          </w:p>
        </w:tc>
        <w:tc>
          <w:tcPr>
            <w:tcW w:w="1226" w:type="dxa"/>
            <w:tcMar>
              <w:top w:w="0" w:type="dxa"/>
              <w:left w:w="108" w:type="dxa"/>
              <w:bottom w:w="0" w:type="dxa"/>
              <w:right w:w="108" w:type="dxa"/>
            </w:tcMar>
            <w:hideMark/>
          </w:tcPr>
          <w:p w14:paraId="36C96F97" w14:textId="77777777" w:rsidR="001E3D72" w:rsidRDefault="001E3D72" w:rsidP="001E3D72">
            <w:pPr>
              <w:spacing w:line="276" w:lineRule="auto"/>
              <w:jc w:val="center"/>
            </w:pPr>
            <w:r>
              <w:t>78</w:t>
            </w:r>
          </w:p>
        </w:tc>
        <w:tc>
          <w:tcPr>
            <w:tcW w:w="1170" w:type="dxa"/>
            <w:tcMar>
              <w:top w:w="0" w:type="dxa"/>
              <w:left w:w="108" w:type="dxa"/>
              <w:bottom w:w="0" w:type="dxa"/>
              <w:right w:w="108" w:type="dxa"/>
            </w:tcMar>
            <w:hideMark/>
          </w:tcPr>
          <w:p w14:paraId="68CAB87D" w14:textId="77777777" w:rsidR="001E3D72" w:rsidRDefault="001E3D72" w:rsidP="001E3D72">
            <w:pPr>
              <w:spacing w:line="276" w:lineRule="auto"/>
              <w:jc w:val="center"/>
            </w:pPr>
            <w:r>
              <w:t>74</w:t>
            </w:r>
          </w:p>
        </w:tc>
        <w:tc>
          <w:tcPr>
            <w:tcW w:w="1170" w:type="dxa"/>
            <w:tcMar>
              <w:top w:w="0" w:type="dxa"/>
              <w:left w:w="108" w:type="dxa"/>
              <w:bottom w:w="0" w:type="dxa"/>
              <w:right w:w="108" w:type="dxa"/>
            </w:tcMar>
            <w:hideMark/>
          </w:tcPr>
          <w:p w14:paraId="44147BEF" w14:textId="77777777" w:rsidR="001E3D72" w:rsidRDefault="001E3D72" w:rsidP="001E3D72">
            <w:pPr>
              <w:spacing w:line="276" w:lineRule="auto"/>
              <w:jc w:val="center"/>
            </w:pPr>
            <w:r>
              <w:t>64</w:t>
            </w:r>
          </w:p>
        </w:tc>
        <w:tc>
          <w:tcPr>
            <w:tcW w:w="1080" w:type="dxa"/>
            <w:hideMark/>
          </w:tcPr>
          <w:p w14:paraId="60E36893" w14:textId="77777777" w:rsidR="001E3D72" w:rsidRDefault="001E3D72" w:rsidP="001E3D72">
            <w:pPr>
              <w:spacing w:line="276" w:lineRule="auto"/>
              <w:jc w:val="center"/>
            </w:pPr>
            <w:r>
              <w:t>66</w:t>
            </w:r>
          </w:p>
        </w:tc>
        <w:tc>
          <w:tcPr>
            <w:tcW w:w="1080" w:type="dxa"/>
            <w:hideMark/>
          </w:tcPr>
          <w:p w14:paraId="0F2FA6B2" w14:textId="77777777" w:rsidR="001E3D72" w:rsidRDefault="001E3D72" w:rsidP="001E3D72">
            <w:pPr>
              <w:spacing w:line="276" w:lineRule="auto"/>
              <w:jc w:val="center"/>
            </w:pPr>
            <w:r>
              <w:t>70</w:t>
            </w:r>
          </w:p>
        </w:tc>
      </w:tr>
    </w:tbl>
    <w:p w14:paraId="4A2DA7EB" w14:textId="77777777" w:rsidR="001E3D72" w:rsidRDefault="001E3D72" w:rsidP="00866CAC">
      <w:pPr>
        <w:jc w:val="both"/>
        <w:rPr>
          <w:color w:val="FF0000"/>
        </w:rPr>
      </w:pPr>
    </w:p>
    <w:p w14:paraId="6F752E01" w14:textId="77777777" w:rsidR="004A6AD9" w:rsidRDefault="004A6AD9">
      <w:pPr>
        <w:ind w:left="1080"/>
        <w:jc w:val="both"/>
        <w:rPr>
          <w:color w:val="FF0000"/>
        </w:rPr>
      </w:pPr>
    </w:p>
    <w:p w14:paraId="4A9CF642" w14:textId="77777777" w:rsidR="00384419" w:rsidRDefault="009D79D6">
      <w:pPr>
        <w:ind w:left="1080" w:hanging="720"/>
        <w:contextualSpacing/>
        <w:rPr>
          <w:b/>
          <w:smallCaps/>
        </w:rPr>
      </w:pPr>
      <w:r>
        <w:rPr>
          <w:b/>
          <w:smallCaps/>
        </w:rPr>
        <w:t>2.      ENFORCEMENT</w:t>
      </w:r>
    </w:p>
    <w:p w14:paraId="02A01DC5" w14:textId="77777777" w:rsidR="00384419" w:rsidRDefault="00384419">
      <w:pPr>
        <w:ind w:left="1080" w:hanging="720"/>
        <w:contextualSpacing/>
        <w:rPr>
          <w:b/>
          <w:smallCaps/>
        </w:rPr>
      </w:pPr>
    </w:p>
    <w:p w14:paraId="53A2AF3C" w14:textId="77777777" w:rsidR="00384419" w:rsidRDefault="009D79D6">
      <w:pPr>
        <w:widowControl/>
        <w:autoSpaceDE/>
        <w:autoSpaceDN/>
        <w:adjustRightInd/>
        <w:ind w:left="1260" w:hanging="360"/>
        <w:contextualSpacing/>
        <w:rPr>
          <w:b/>
          <w:smallCaps/>
        </w:rPr>
      </w:pPr>
      <w:r>
        <w:t>a)  Complaints</w:t>
      </w:r>
    </w:p>
    <w:p w14:paraId="23297222" w14:textId="77777777" w:rsidR="00384419" w:rsidRDefault="00384419">
      <w:pPr>
        <w:widowControl/>
        <w:autoSpaceDE/>
        <w:autoSpaceDN/>
        <w:adjustRightInd/>
        <w:ind w:left="1260"/>
      </w:pPr>
    </w:p>
    <w:p w14:paraId="10FD4DE6" w14:textId="249C5E65" w:rsidR="002B0C9A" w:rsidRPr="00C52A28" w:rsidRDefault="002B0C9A" w:rsidP="002B0C9A">
      <w:pPr>
        <w:widowControl/>
        <w:adjustRightInd/>
        <w:ind w:left="900"/>
        <w:contextualSpacing/>
        <w:jc w:val="both"/>
        <w:rPr>
          <w:rFonts w:eastAsia="Calibri"/>
        </w:rPr>
      </w:pPr>
      <w:r w:rsidRPr="00F72BD4">
        <w:rPr>
          <w:rFonts w:eastAsia="Calibri"/>
          <w:color w:val="000000" w:themeColor="text1"/>
        </w:rPr>
        <w:t>The OSH Complaint Desk processed 3,528 complaints</w:t>
      </w:r>
      <w:r>
        <w:rPr>
          <w:rFonts w:eastAsia="Calibri"/>
          <w:color w:val="000000" w:themeColor="text1"/>
        </w:rPr>
        <w:t xml:space="preserve">.  </w:t>
      </w:r>
      <w:r w:rsidRPr="00F72BD4">
        <w:rPr>
          <w:rFonts w:eastAsia="Calibri"/>
          <w:color w:val="000000" w:themeColor="text1"/>
        </w:rPr>
        <w:t>The average number of complaints received by the Complaint Desk has averaged 1,000 more each year than in years prior to COVID-19</w:t>
      </w:r>
      <w:r w:rsidR="009A7048">
        <w:rPr>
          <w:rFonts w:eastAsia="Calibri"/>
          <w:color w:val="000000" w:themeColor="text1"/>
        </w:rPr>
        <w:t>,</w:t>
      </w:r>
      <w:r w:rsidRPr="00F72BD4">
        <w:rPr>
          <w:rFonts w:eastAsia="Calibri"/>
          <w:color w:val="000000" w:themeColor="text1"/>
        </w:rPr>
        <w:t xml:space="preserve"> and the number of unprocessed complaints continued to steadily climb</w:t>
      </w:r>
      <w:r w:rsidR="009A7048">
        <w:rPr>
          <w:rFonts w:eastAsia="Calibri"/>
          <w:color w:val="000000" w:themeColor="text1"/>
        </w:rPr>
        <w:t>,</w:t>
      </w:r>
      <w:r w:rsidRPr="00F72BD4">
        <w:rPr>
          <w:rFonts w:eastAsia="Calibri"/>
          <w:color w:val="000000" w:themeColor="text1"/>
        </w:rPr>
        <w:t xml:space="preserve"> as well. To alleviate the number of complaints not under OSH jurisdiction, an online web form was developed in question-and-answer format and</w:t>
      </w:r>
      <w:r w:rsidRPr="00F72BD4">
        <w:rPr>
          <w:rFonts w:eastAsia="Calibri"/>
        </w:rPr>
        <w:t xml:space="preserve"> directs online complaints toward the appropriate agency.</w:t>
      </w:r>
      <w:r>
        <w:rPr>
          <w:rFonts w:eastAsia="Calibri"/>
        </w:rPr>
        <w:t xml:space="preserve">  </w:t>
      </w:r>
      <w:r w:rsidRPr="00F72BD4">
        <w:rPr>
          <w:rFonts w:eastAsia="Calibri"/>
          <w:color w:val="000000" w:themeColor="text1"/>
        </w:rPr>
        <w:t>The Complaint Desk received and responded to 80 COVID-19</w:t>
      </w:r>
      <w:r w:rsidR="008805F8">
        <w:rPr>
          <w:rFonts w:eastAsia="Calibri"/>
          <w:color w:val="000000" w:themeColor="text1"/>
        </w:rPr>
        <w:t>,</w:t>
      </w:r>
      <w:r w:rsidRPr="00F72BD4">
        <w:rPr>
          <w:rFonts w:eastAsia="Calibri"/>
          <w:color w:val="000000" w:themeColor="text1"/>
        </w:rPr>
        <w:t xml:space="preserve"> and 293 heat-related</w:t>
      </w:r>
      <w:r w:rsidR="008805F8">
        <w:rPr>
          <w:rFonts w:eastAsia="Calibri"/>
          <w:color w:val="000000" w:themeColor="text1"/>
        </w:rPr>
        <w:t>,</w:t>
      </w:r>
      <w:r w:rsidRPr="00F72BD4">
        <w:rPr>
          <w:rFonts w:eastAsia="Calibri"/>
          <w:color w:val="000000" w:themeColor="text1"/>
        </w:rPr>
        <w:t xml:space="preserve"> emails and phone calls</w:t>
      </w:r>
      <w:r w:rsidR="008805F8">
        <w:rPr>
          <w:rFonts w:eastAsia="Calibri"/>
          <w:color w:val="000000" w:themeColor="text1"/>
        </w:rPr>
        <w:t>, respectively,</w:t>
      </w:r>
      <w:r w:rsidRPr="00F72BD4">
        <w:rPr>
          <w:rFonts w:eastAsia="Calibri"/>
          <w:color w:val="000000" w:themeColor="text1"/>
        </w:rPr>
        <w:t xml:space="preserve"> during FY </w:t>
      </w:r>
      <w:r w:rsidRPr="00C52A28">
        <w:rPr>
          <w:rFonts w:eastAsia="Calibri"/>
        </w:rPr>
        <w:t>2023</w:t>
      </w:r>
      <w:r w:rsidR="2A1C7E51" w:rsidRPr="74CC9C3B">
        <w:rPr>
          <w:rFonts w:eastAsia="Calibri"/>
        </w:rPr>
        <w:t>.</w:t>
      </w:r>
      <w:r w:rsidR="009D79D6" w:rsidRPr="74CC9C3B">
        <w:rPr>
          <w:rFonts w:eastAsia="Calibri"/>
        </w:rPr>
        <w:t xml:space="preserve"> According</w:t>
      </w:r>
      <w:r w:rsidR="009D79D6" w:rsidRPr="00C52A28">
        <w:t xml:space="preserve"> to the SAMM report, OSHNC responds timely to complaints.  The average number of days to initiate a complaint inspection in </w:t>
      </w:r>
      <w:r w:rsidR="00C510E1" w:rsidRPr="00C52A28">
        <w:t>FY 2023</w:t>
      </w:r>
      <w:r w:rsidR="009D79D6" w:rsidRPr="00C52A28">
        <w:t xml:space="preserve"> was 3.</w:t>
      </w:r>
      <w:r w:rsidR="00C52A28" w:rsidRPr="00C52A28">
        <w:t>86</w:t>
      </w:r>
      <w:r w:rsidR="009D79D6" w:rsidRPr="00C52A28">
        <w:t>, which is well below the FRL-negotiated standard of 10 days.  The average number of days to initiate a complaint investigation was 1.</w:t>
      </w:r>
      <w:r w:rsidR="00C52A28" w:rsidRPr="00C52A28">
        <w:t>76</w:t>
      </w:r>
      <w:r w:rsidR="009D79D6" w:rsidRPr="00C52A28">
        <w:t xml:space="preserve">, which is also well below the negotiated standard of four days.  </w:t>
      </w:r>
    </w:p>
    <w:p w14:paraId="4A77B41C" w14:textId="77777777" w:rsidR="002B0C9A" w:rsidRPr="00C52A28" w:rsidRDefault="002B0C9A" w:rsidP="002B0C9A">
      <w:pPr>
        <w:widowControl/>
        <w:adjustRightInd/>
        <w:ind w:left="900"/>
        <w:contextualSpacing/>
        <w:jc w:val="both"/>
      </w:pPr>
    </w:p>
    <w:p w14:paraId="64C8FF2E" w14:textId="77777777" w:rsidR="002B0C9A" w:rsidRPr="00C52A28" w:rsidRDefault="009D79D6" w:rsidP="002B0C9A">
      <w:pPr>
        <w:widowControl/>
        <w:adjustRightInd/>
        <w:ind w:left="900"/>
        <w:contextualSpacing/>
        <w:jc w:val="both"/>
      </w:pPr>
      <w:r w:rsidRPr="00C52A28">
        <w:t xml:space="preserve">OSHNC has a centralized complaint and referral intake procedure, with complaints transferred to the district supervisor having geographic jurisdiction.  The State Plan’s emphasis has been on customer service, and assuring that each complaint is given attention, consistent with the severity of the alleged hazards.  OSHNC’s complaint process for formal complaints is similar to OSHA’s process.  OSHNC considers electronic complaints obtained through OSHA’s complaint system as a formal complaint.  After the receipt of an electronic complaint, a follow-up call to the complainant is usually made to clarify the complaint items.  The source of the complaint, with those from a current employee having priority, and the severity of the alleged hazards, are primary considerations for supervisors to decide, whether to handle the complaint by letter, or by inspection. </w:t>
      </w:r>
    </w:p>
    <w:p w14:paraId="28D13629" w14:textId="77777777" w:rsidR="002B0C9A" w:rsidRPr="00C52A28" w:rsidRDefault="002B0C9A" w:rsidP="002B0C9A">
      <w:pPr>
        <w:widowControl/>
        <w:adjustRightInd/>
        <w:ind w:left="900"/>
        <w:contextualSpacing/>
        <w:jc w:val="both"/>
      </w:pPr>
    </w:p>
    <w:p w14:paraId="4500570B" w14:textId="77777777" w:rsidR="004A6AD9" w:rsidRDefault="009D79D6" w:rsidP="002B0C9A">
      <w:pPr>
        <w:widowControl/>
        <w:adjustRightInd/>
        <w:ind w:left="900"/>
        <w:contextualSpacing/>
        <w:jc w:val="both"/>
      </w:pPr>
      <w:r w:rsidRPr="00C52A28">
        <w:t xml:space="preserve">In </w:t>
      </w:r>
      <w:r w:rsidR="00C510E1" w:rsidRPr="00C52A28">
        <w:t>FY 2023</w:t>
      </w:r>
      <w:r w:rsidRPr="00C52A28">
        <w:t>, 822 referrals were processed by the complaint desk.  Referrals are alleged hazards or violations of the Act, which are typically received from other federal, state, or local government agencies, as well as media outlets, compliance officers or employers, reporting an injury or illness.  OSHNC follows similar procedures as OSHA for employer-reported referrals.</w:t>
      </w:r>
    </w:p>
    <w:p w14:paraId="6A439283" w14:textId="77777777" w:rsidR="004A6AD9" w:rsidRPr="007948A2" w:rsidRDefault="004A6AD9" w:rsidP="002B0C9A">
      <w:pPr>
        <w:widowControl/>
        <w:adjustRightInd/>
        <w:ind w:left="900"/>
        <w:contextualSpacing/>
        <w:jc w:val="both"/>
      </w:pPr>
    </w:p>
    <w:p w14:paraId="394FE93C" w14:textId="77777777" w:rsidR="00384419" w:rsidRPr="007948A2" w:rsidRDefault="009D79D6" w:rsidP="00705ED8">
      <w:pPr>
        <w:pStyle w:val="ListParagraph"/>
        <w:numPr>
          <w:ilvl w:val="0"/>
          <w:numId w:val="9"/>
        </w:numPr>
        <w:ind w:left="1260"/>
      </w:pPr>
      <w:r w:rsidRPr="007948A2">
        <w:rPr>
          <w:rFonts w:ascii="Times New Roman" w:hAnsi="Times New Roman" w:cs="Times New Roman"/>
          <w:sz w:val="24"/>
          <w:szCs w:val="24"/>
        </w:rPr>
        <w:t xml:space="preserve">Fatalities </w:t>
      </w:r>
    </w:p>
    <w:p w14:paraId="49B36A5A" w14:textId="5F4BF377" w:rsidR="00384419" w:rsidRPr="004C2D76" w:rsidRDefault="00FC162E">
      <w:pPr>
        <w:ind w:left="1260"/>
        <w:jc w:val="both"/>
        <w:rPr>
          <w:color w:val="FF0000"/>
        </w:rPr>
      </w:pPr>
      <w:r>
        <w:rPr>
          <w:color w:val="000000"/>
        </w:rPr>
        <w:t xml:space="preserve">In FY 2023, North Carolina investigated 71 workplace fatalities. The number of </w:t>
      </w:r>
      <w:r w:rsidR="0083761B">
        <w:rPr>
          <w:color w:val="000000"/>
        </w:rPr>
        <w:t>manufacturing</w:t>
      </w:r>
      <w:r>
        <w:rPr>
          <w:color w:val="000000"/>
        </w:rPr>
        <w:t xml:space="preserve"> deaths increased from eight</w:t>
      </w:r>
      <w:r w:rsidR="00177A0A">
        <w:rPr>
          <w:color w:val="000000"/>
        </w:rPr>
        <w:t xml:space="preserve"> (8)</w:t>
      </w:r>
      <w:r>
        <w:rPr>
          <w:color w:val="000000"/>
        </w:rPr>
        <w:t xml:space="preserve"> in FY</w:t>
      </w:r>
      <w:r w:rsidR="00177A0A">
        <w:rPr>
          <w:color w:val="000000"/>
        </w:rPr>
        <w:t xml:space="preserve"> </w:t>
      </w:r>
      <w:r>
        <w:rPr>
          <w:color w:val="000000"/>
        </w:rPr>
        <w:t>22 to 15 in FY</w:t>
      </w:r>
      <w:r w:rsidR="00177A0A">
        <w:rPr>
          <w:color w:val="000000"/>
        </w:rPr>
        <w:t xml:space="preserve"> </w:t>
      </w:r>
      <w:r>
        <w:rPr>
          <w:color w:val="000000"/>
        </w:rPr>
        <w:t>23.  In addition, the number of fatalities in construction increased from 23 in FY</w:t>
      </w:r>
      <w:r w:rsidR="00177A0A">
        <w:rPr>
          <w:color w:val="000000"/>
        </w:rPr>
        <w:t xml:space="preserve"> </w:t>
      </w:r>
      <w:r>
        <w:rPr>
          <w:color w:val="000000"/>
        </w:rPr>
        <w:t>22 to 24 in FY</w:t>
      </w:r>
      <w:r w:rsidR="00177A0A">
        <w:rPr>
          <w:color w:val="000000"/>
        </w:rPr>
        <w:t xml:space="preserve"> </w:t>
      </w:r>
      <w:r>
        <w:rPr>
          <w:color w:val="000000"/>
        </w:rPr>
        <w:t>23.  North Carolina’s procedures for investigation of occupational fatalities are effectively the same as those of federal OSHA</w:t>
      </w:r>
      <w:r w:rsidRPr="00535502">
        <w:rPr>
          <w:color w:val="000000"/>
        </w:rPr>
        <w:t xml:space="preserve">.  </w:t>
      </w:r>
      <w:r w:rsidRPr="00535502">
        <w:t>A review of the fatality inspection files showed that the correct fatality inspection procedures were followed</w:t>
      </w:r>
      <w:r w:rsidRPr="00FC162E">
        <w:t xml:space="preserve">.  One hundred percent (100%) of the fatality inspection cases were responded to within one day, according to SAMM 10.  </w:t>
      </w:r>
      <w:r>
        <w:rPr>
          <w:color w:val="000000"/>
        </w:rPr>
        <w:t xml:space="preserve">North Carolina has implemented procedures to assure the quality of fatality investigations.  </w:t>
      </w:r>
    </w:p>
    <w:p w14:paraId="0303EA72" w14:textId="77777777" w:rsidR="00384419" w:rsidRPr="004C2D76" w:rsidRDefault="00384419">
      <w:pPr>
        <w:ind w:left="1260"/>
        <w:jc w:val="both"/>
        <w:rPr>
          <w:color w:val="FF0000"/>
        </w:rPr>
      </w:pPr>
    </w:p>
    <w:p w14:paraId="4845D288" w14:textId="296B70F2" w:rsidR="00384419" w:rsidRDefault="009D79D6">
      <w:pPr>
        <w:ind w:left="1260"/>
        <w:jc w:val="both"/>
      </w:pPr>
      <w:r w:rsidRPr="007948A2">
        <w:t xml:space="preserve">The Next-of-Kin (NOK) was contacted on all investigations.  North Carolina has a procedure for communication with family members of deceased workers.  Letters are sent to the NOK at the beginning of the investigation, and when the investigation has concluded.  The family is provided with the name and telephone number of the “next-of-kin ombudsman,” who handles telephone contacts with the family.  Supervisors indicated that they check to assure that the letters have been </w:t>
      </w:r>
      <w:r w:rsidR="00666EFC" w:rsidRPr="007948A2">
        <w:t>sent when</w:t>
      </w:r>
      <w:r w:rsidRPr="007948A2">
        <w:t xml:space="preserve"> they review the file.  </w:t>
      </w:r>
    </w:p>
    <w:p w14:paraId="3E71C87B" w14:textId="77777777" w:rsidR="000871D9" w:rsidRDefault="000871D9">
      <w:pPr>
        <w:ind w:left="1260"/>
        <w:jc w:val="both"/>
      </w:pPr>
    </w:p>
    <w:p w14:paraId="46F77AE9" w14:textId="2967F413" w:rsidR="00384419" w:rsidRPr="0081070C" w:rsidRDefault="009D79D6">
      <w:pPr>
        <w:ind w:left="1260"/>
        <w:jc w:val="both"/>
        <w:rPr>
          <w:iCs/>
        </w:rPr>
      </w:pPr>
      <w:r w:rsidRPr="0081070C">
        <w:rPr>
          <w:rFonts w:eastAsia="Calibri"/>
        </w:rPr>
        <w:t>The table below details the industries, where fatalities occurred in FY 202</w:t>
      </w:r>
      <w:r w:rsidR="000E52DB" w:rsidRPr="0081070C">
        <w:rPr>
          <w:rFonts w:eastAsia="Calibri"/>
        </w:rPr>
        <w:t>2</w:t>
      </w:r>
      <w:r w:rsidRPr="0081070C">
        <w:rPr>
          <w:rFonts w:eastAsia="Calibri"/>
        </w:rPr>
        <w:t xml:space="preserve"> and </w:t>
      </w:r>
      <w:r w:rsidR="00C510E1" w:rsidRPr="0081070C">
        <w:rPr>
          <w:rFonts w:eastAsia="Calibri"/>
        </w:rPr>
        <w:t>FY 2023</w:t>
      </w:r>
      <w:r w:rsidRPr="0081070C">
        <w:rPr>
          <w:rFonts w:eastAsia="Calibri"/>
        </w:rPr>
        <w:t>.</w:t>
      </w:r>
    </w:p>
    <w:p w14:paraId="1F3310CB" w14:textId="77777777" w:rsidR="00384419" w:rsidRPr="0081070C" w:rsidRDefault="00384419">
      <w:pPr>
        <w:ind w:left="1260"/>
        <w:rPr>
          <w:iCs/>
        </w:rPr>
      </w:pPr>
    </w:p>
    <w:tbl>
      <w:tblPr>
        <w:tblStyle w:val="TableGrid"/>
        <w:tblpPr w:leftFromText="180" w:rightFromText="180" w:vertAnchor="page" w:horzAnchor="margin" w:tblpXSpec="center" w:tblpY="6659"/>
        <w:tblW w:w="0" w:type="auto"/>
        <w:tblLook w:val="04A0" w:firstRow="1" w:lastRow="0" w:firstColumn="1" w:lastColumn="0" w:noHBand="0" w:noVBand="1"/>
      </w:tblPr>
      <w:tblGrid>
        <w:gridCol w:w="3965"/>
        <w:gridCol w:w="1080"/>
        <w:gridCol w:w="1125"/>
      </w:tblGrid>
      <w:tr w:rsidR="004E298F" w:rsidRPr="00E76C8A" w14:paraId="103A638B" w14:textId="77777777" w:rsidTr="74CC9C3B">
        <w:tc>
          <w:tcPr>
            <w:tcW w:w="3965" w:type="dxa"/>
          </w:tcPr>
          <w:p w14:paraId="0EB6CA22" w14:textId="77777777" w:rsidR="004E298F" w:rsidRPr="00E76C8A" w:rsidRDefault="004E298F" w:rsidP="004E298F">
            <w:pPr>
              <w:jc w:val="both"/>
              <w:rPr>
                <w:rFonts w:eastAsia="Calibri"/>
              </w:rPr>
            </w:pPr>
            <w:r w:rsidRPr="00E76C8A">
              <w:rPr>
                <w:b/>
                <w:bCs/>
              </w:rPr>
              <w:t>By Industry</w:t>
            </w:r>
          </w:p>
        </w:tc>
        <w:tc>
          <w:tcPr>
            <w:tcW w:w="1080" w:type="dxa"/>
          </w:tcPr>
          <w:p w14:paraId="15754030" w14:textId="77777777" w:rsidR="004E298F" w:rsidRPr="00E76C8A" w:rsidRDefault="004E298F" w:rsidP="004E298F">
            <w:pPr>
              <w:jc w:val="center"/>
              <w:rPr>
                <w:b/>
              </w:rPr>
            </w:pPr>
            <w:r w:rsidRPr="00E76C8A">
              <w:rPr>
                <w:b/>
              </w:rPr>
              <w:t>FY 2022</w:t>
            </w:r>
          </w:p>
        </w:tc>
        <w:tc>
          <w:tcPr>
            <w:tcW w:w="1125" w:type="dxa"/>
          </w:tcPr>
          <w:p w14:paraId="4E2C3001" w14:textId="77777777" w:rsidR="004E298F" w:rsidRPr="00E76C8A" w:rsidRDefault="004E298F" w:rsidP="004E298F">
            <w:pPr>
              <w:jc w:val="center"/>
              <w:rPr>
                <w:b/>
              </w:rPr>
            </w:pPr>
            <w:r w:rsidRPr="00E76C8A">
              <w:rPr>
                <w:b/>
              </w:rPr>
              <w:t>FY 2023</w:t>
            </w:r>
          </w:p>
        </w:tc>
      </w:tr>
      <w:tr w:rsidR="004E298F" w:rsidRPr="00E76C8A" w14:paraId="0380A7CB" w14:textId="77777777" w:rsidTr="74CC9C3B">
        <w:tc>
          <w:tcPr>
            <w:tcW w:w="3965" w:type="dxa"/>
          </w:tcPr>
          <w:p w14:paraId="2B09826C" w14:textId="77777777" w:rsidR="004E298F" w:rsidRPr="00E76C8A" w:rsidRDefault="004E298F" w:rsidP="004E298F">
            <w:pPr>
              <w:jc w:val="both"/>
              <w:rPr>
                <w:rFonts w:eastAsia="Calibri"/>
              </w:rPr>
            </w:pPr>
            <w:r w:rsidRPr="00E76C8A">
              <w:t>Construction</w:t>
            </w:r>
          </w:p>
        </w:tc>
        <w:tc>
          <w:tcPr>
            <w:tcW w:w="1080" w:type="dxa"/>
          </w:tcPr>
          <w:p w14:paraId="26DD222F" w14:textId="77777777" w:rsidR="004E298F" w:rsidRPr="00E76C8A" w:rsidRDefault="004E298F" w:rsidP="004E298F">
            <w:pPr>
              <w:jc w:val="center"/>
              <w:rPr>
                <w:rFonts w:eastAsia="Calibri"/>
              </w:rPr>
            </w:pPr>
            <w:r w:rsidRPr="00E76C8A">
              <w:rPr>
                <w:rFonts w:eastAsia="Calibri"/>
              </w:rPr>
              <w:t>23</w:t>
            </w:r>
          </w:p>
        </w:tc>
        <w:tc>
          <w:tcPr>
            <w:tcW w:w="1125" w:type="dxa"/>
          </w:tcPr>
          <w:p w14:paraId="0C751A5A" w14:textId="77777777" w:rsidR="004E298F" w:rsidRPr="00E76C8A" w:rsidRDefault="004E298F" w:rsidP="004E298F">
            <w:pPr>
              <w:jc w:val="center"/>
              <w:rPr>
                <w:rFonts w:eastAsia="Calibri"/>
              </w:rPr>
            </w:pPr>
            <w:r w:rsidRPr="00E76C8A">
              <w:rPr>
                <w:rFonts w:eastAsia="Calibri"/>
              </w:rPr>
              <w:t>24</w:t>
            </w:r>
          </w:p>
        </w:tc>
      </w:tr>
      <w:tr w:rsidR="004E298F" w:rsidRPr="00E76C8A" w14:paraId="2A37814C" w14:textId="77777777" w:rsidTr="74CC9C3B">
        <w:tc>
          <w:tcPr>
            <w:tcW w:w="3965" w:type="dxa"/>
          </w:tcPr>
          <w:p w14:paraId="79B1D9F4" w14:textId="77777777" w:rsidR="004E298F" w:rsidRPr="00E76C8A" w:rsidRDefault="004E298F" w:rsidP="004E298F">
            <w:pPr>
              <w:jc w:val="both"/>
              <w:rPr>
                <w:rFonts w:eastAsia="Calibri"/>
              </w:rPr>
            </w:pPr>
            <w:r w:rsidRPr="00E76C8A">
              <w:t>Manufacturing</w:t>
            </w:r>
          </w:p>
        </w:tc>
        <w:tc>
          <w:tcPr>
            <w:tcW w:w="1080" w:type="dxa"/>
          </w:tcPr>
          <w:p w14:paraId="37036339" w14:textId="77777777" w:rsidR="004E298F" w:rsidRPr="00E76C8A" w:rsidRDefault="004E298F" w:rsidP="004E298F">
            <w:pPr>
              <w:jc w:val="center"/>
              <w:rPr>
                <w:rFonts w:eastAsia="Calibri"/>
              </w:rPr>
            </w:pPr>
            <w:r w:rsidRPr="00E76C8A">
              <w:rPr>
                <w:rFonts w:eastAsia="Calibri"/>
              </w:rPr>
              <w:t>8</w:t>
            </w:r>
          </w:p>
        </w:tc>
        <w:tc>
          <w:tcPr>
            <w:tcW w:w="1125" w:type="dxa"/>
          </w:tcPr>
          <w:p w14:paraId="180245AB" w14:textId="77777777" w:rsidR="004E298F" w:rsidRPr="00E76C8A" w:rsidRDefault="004E298F" w:rsidP="004E298F">
            <w:pPr>
              <w:jc w:val="center"/>
              <w:rPr>
                <w:rFonts w:eastAsia="Calibri"/>
              </w:rPr>
            </w:pPr>
            <w:r w:rsidRPr="00E76C8A">
              <w:rPr>
                <w:rFonts w:eastAsia="Calibri"/>
              </w:rPr>
              <w:t>15</w:t>
            </w:r>
          </w:p>
        </w:tc>
      </w:tr>
      <w:tr w:rsidR="004E298F" w:rsidRPr="00E76C8A" w14:paraId="034934F0" w14:textId="77777777" w:rsidTr="74CC9C3B">
        <w:tc>
          <w:tcPr>
            <w:tcW w:w="3965" w:type="dxa"/>
            <w:vAlign w:val="bottom"/>
          </w:tcPr>
          <w:p w14:paraId="2E6801B9" w14:textId="77777777" w:rsidR="004E298F" w:rsidRPr="00E76C8A" w:rsidRDefault="004E298F" w:rsidP="004E298F">
            <w:pPr>
              <w:jc w:val="both"/>
              <w:rPr>
                <w:rFonts w:eastAsia="Calibri"/>
              </w:rPr>
            </w:pPr>
            <w:r w:rsidRPr="00E76C8A">
              <w:t>Transportation &amp; Public Utilities</w:t>
            </w:r>
          </w:p>
        </w:tc>
        <w:tc>
          <w:tcPr>
            <w:tcW w:w="1080" w:type="dxa"/>
          </w:tcPr>
          <w:p w14:paraId="6716EA20" w14:textId="77777777" w:rsidR="004E298F" w:rsidRPr="00E76C8A" w:rsidRDefault="004E298F" w:rsidP="004E298F">
            <w:pPr>
              <w:jc w:val="center"/>
              <w:rPr>
                <w:rFonts w:eastAsia="Calibri"/>
              </w:rPr>
            </w:pPr>
            <w:r w:rsidRPr="00E76C8A">
              <w:rPr>
                <w:rFonts w:eastAsia="Calibri"/>
              </w:rPr>
              <w:t>3</w:t>
            </w:r>
          </w:p>
        </w:tc>
        <w:tc>
          <w:tcPr>
            <w:tcW w:w="1125" w:type="dxa"/>
          </w:tcPr>
          <w:p w14:paraId="7520B83F" w14:textId="77777777" w:rsidR="004E298F" w:rsidRPr="00E76C8A" w:rsidRDefault="004E298F" w:rsidP="004E298F">
            <w:pPr>
              <w:jc w:val="center"/>
              <w:rPr>
                <w:rFonts w:eastAsia="Calibri"/>
              </w:rPr>
            </w:pPr>
            <w:r w:rsidRPr="00E76C8A">
              <w:rPr>
                <w:rFonts w:eastAsia="Calibri"/>
              </w:rPr>
              <w:t>2</w:t>
            </w:r>
          </w:p>
        </w:tc>
      </w:tr>
      <w:tr w:rsidR="004E298F" w:rsidRPr="00E76C8A" w14:paraId="34FA05EB" w14:textId="77777777" w:rsidTr="74CC9C3B">
        <w:tc>
          <w:tcPr>
            <w:tcW w:w="3965" w:type="dxa"/>
          </w:tcPr>
          <w:p w14:paraId="2A808BF8" w14:textId="77777777" w:rsidR="004E298F" w:rsidRPr="00E76C8A" w:rsidRDefault="004E298F" w:rsidP="004E298F">
            <w:pPr>
              <w:jc w:val="both"/>
              <w:rPr>
                <w:rFonts w:eastAsia="Calibri"/>
              </w:rPr>
            </w:pPr>
            <w:r w:rsidRPr="00E76C8A">
              <w:t>Wholesale Trade</w:t>
            </w:r>
          </w:p>
        </w:tc>
        <w:tc>
          <w:tcPr>
            <w:tcW w:w="1080" w:type="dxa"/>
          </w:tcPr>
          <w:p w14:paraId="20866617" w14:textId="77777777" w:rsidR="004E298F" w:rsidRPr="00E76C8A" w:rsidRDefault="004E298F" w:rsidP="004E298F">
            <w:pPr>
              <w:jc w:val="center"/>
              <w:rPr>
                <w:rFonts w:eastAsia="Calibri"/>
              </w:rPr>
            </w:pPr>
            <w:r w:rsidRPr="00E76C8A">
              <w:rPr>
                <w:rFonts w:eastAsia="Calibri"/>
              </w:rPr>
              <w:t>1</w:t>
            </w:r>
          </w:p>
        </w:tc>
        <w:tc>
          <w:tcPr>
            <w:tcW w:w="1125" w:type="dxa"/>
          </w:tcPr>
          <w:p w14:paraId="5F07454A" w14:textId="77777777" w:rsidR="004E298F" w:rsidRPr="00E76C8A" w:rsidRDefault="004E298F" w:rsidP="004E298F">
            <w:pPr>
              <w:jc w:val="center"/>
              <w:rPr>
                <w:rFonts w:eastAsia="Calibri"/>
              </w:rPr>
            </w:pPr>
            <w:r w:rsidRPr="00E76C8A">
              <w:rPr>
                <w:rFonts w:eastAsia="Calibri"/>
              </w:rPr>
              <w:t>7</w:t>
            </w:r>
          </w:p>
        </w:tc>
      </w:tr>
      <w:tr w:rsidR="004E298F" w:rsidRPr="00E76C8A" w14:paraId="55F32244" w14:textId="77777777" w:rsidTr="74CC9C3B">
        <w:tc>
          <w:tcPr>
            <w:tcW w:w="3965" w:type="dxa"/>
          </w:tcPr>
          <w:p w14:paraId="76C1E0A2" w14:textId="77777777" w:rsidR="004E298F" w:rsidRPr="00E76C8A" w:rsidRDefault="004E298F" w:rsidP="004E298F">
            <w:pPr>
              <w:jc w:val="both"/>
              <w:rPr>
                <w:rFonts w:eastAsia="Calibri"/>
              </w:rPr>
            </w:pPr>
            <w:r w:rsidRPr="00E76C8A">
              <w:t>Retail Trade</w:t>
            </w:r>
          </w:p>
        </w:tc>
        <w:tc>
          <w:tcPr>
            <w:tcW w:w="1080" w:type="dxa"/>
          </w:tcPr>
          <w:p w14:paraId="06D3A602" w14:textId="77777777" w:rsidR="004E298F" w:rsidRPr="00E76C8A" w:rsidRDefault="004E298F" w:rsidP="004E298F">
            <w:pPr>
              <w:jc w:val="center"/>
              <w:rPr>
                <w:rFonts w:eastAsia="Calibri"/>
              </w:rPr>
            </w:pPr>
            <w:r w:rsidRPr="00E76C8A">
              <w:rPr>
                <w:rFonts w:eastAsia="Calibri"/>
              </w:rPr>
              <w:t>4</w:t>
            </w:r>
          </w:p>
        </w:tc>
        <w:tc>
          <w:tcPr>
            <w:tcW w:w="1125" w:type="dxa"/>
          </w:tcPr>
          <w:p w14:paraId="009457A6" w14:textId="77777777" w:rsidR="004E298F" w:rsidRPr="00E76C8A" w:rsidRDefault="004E298F" w:rsidP="004E298F">
            <w:pPr>
              <w:jc w:val="center"/>
              <w:rPr>
                <w:rFonts w:eastAsia="Calibri"/>
              </w:rPr>
            </w:pPr>
            <w:r w:rsidRPr="00E76C8A">
              <w:rPr>
                <w:rFonts w:eastAsia="Calibri"/>
              </w:rPr>
              <w:t>4</w:t>
            </w:r>
          </w:p>
        </w:tc>
      </w:tr>
      <w:tr w:rsidR="004E298F" w:rsidRPr="00E76C8A" w14:paraId="35DBA280" w14:textId="77777777" w:rsidTr="74CC9C3B">
        <w:tc>
          <w:tcPr>
            <w:tcW w:w="3965" w:type="dxa"/>
          </w:tcPr>
          <w:p w14:paraId="6B7675ED" w14:textId="77777777" w:rsidR="004E298F" w:rsidRPr="00E76C8A" w:rsidRDefault="004E298F" w:rsidP="004E298F">
            <w:pPr>
              <w:jc w:val="both"/>
              <w:rPr>
                <w:rFonts w:eastAsia="Calibri"/>
              </w:rPr>
            </w:pPr>
            <w:r w:rsidRPr="00E76C8A">
              <w:t>Services</w:t>
            </w:r>
          </w:p>
        </w:tc>
        <w:tc>
          <w:tcPr>
            <w:tcW w:w="1080" w:type="dxa"/>
          </w:tcPr>
          <w:p w14:paraId="3A96E7A1" w14:textId="77777777" w:rsidR="004E298F" w:rsidRPr="00E76C8A" w:rsidRDefault="004E298F" w:rsidP="004E298F">
            <w:pPr>
              <w:jc w:val="center"/>
              <w:rPr>
                <w:rFonts w:eastAsia="Calibri"/>
              </w:rPr>
            </w:pPr>
            <w:r w:rsidRPr="00E76C8A">
              <w:rPr>
                <w:rFonts w:eastAsia="Calibri"/>
              </w:rPr>
              <w:t>11</w:t>
            </w:r>
          </w:p>
        </w:tc>
        <w:tc>
          <w:tcPr>
            <w:tcW w:w="1125" w:type="dxa"/>
          </w:tcPr>
          <w:p w14:paraId="4A40DFEF" w14:textId="77777777" w:rsidR="004E298F" w:rsidRPr="00E76C8A" w:rsidRDefault="004E298F" w:rsidP="004E298F">
            <w:pPr>
              <w:jc w:val="center"/>
              <w:rPr>
                <w:rFonts w:eastAsia="Calibri"/>
              </w:rPr>
            </w:pPr>
            <w:r w:rsidRPr="00E76C8A">
              <w:rPr>
                <w:rFonts w:eastAsia="Calibri"/>
              </w:rPr>
              <w:t>12</w:t>
            </w:r>
          </w:p>
        </w:tc>
      </w:tr>
      <w:tr w:rsidR="004E298F" w:rsidRPr="00E76C8A" w14:paraId="1A2F2282" w14:textId="77777777" w:rsidTr="74CC9C3B">
        <w:tc>
          <w:tcPr>
            <w:tcW w:w="3965" w:type="dxa"/>
            <w:vAlign w:val="bottom"/>
          </w:tcPr>
          <w:p w14:paraId="45F5D7B3" w14:textId="77777777" w:rsidR="004E298F" w:rsidRPr="00E76C8A" w:rsidRDefault="004E298F" w:rsidP="004E298F">
            <w:pPr>
              <w:jc w:val="both"/>
              <w:rPr>
                <w:rFonts w:eastAsia="Calibri"/>
              </w:rPr>
            </w:pPr>
            <w:r w:rsidRPr="00E76C8A">
              <w:t>Agriculture, Forestry, Fishing</w:t>
            </w:r>
          </w:p>
        </w:tc>
        <w:tc>
          <w:tcPr>
            <w:tcW w:w="1080" w:type="dxa"/>
          </w:tcPr>
          <w:p w14:paraId="0360C7A5" w14:textId="77777777" w:rsidR="004E298F" w:rsidRPr="00E76C8A" w:rsidRDefault="004E298F" w:rsidP="004E298F">
            <w:pPr>
              <w:jc w:val="center"/>
              <w:rPr>
                <w:rFonts w:eastAsia="Calibri"/>
              </w:rPr>
            </w:pPr>
            <w:r w:rsidRPr="00E76C8A">
              <w:rPr>
                <w:rFonts w:eastAsia="Calibri"/>
              </w:rPr>
              <w:t>10</w:t>
            </w:r>
          </w:p>
        </w:tc>
        <w:tc>
          <w:tcPr>
            <w:tcW w:w="1125" w:type="dxa"/>
          </w:tcPr>
          <w:p w14:paraId="32D7C1B6" w14:textId="77777777" w:rsidR="004E298F" w:rsidRPr="00E76C8A" w:rsidRDefault="004E298F" w:rsidP="004E298F">
            <w:pPr>
              <w:jc w:val="center"/>
              <w:rPr>
                <w:rFonts w:eastAsia="Calibri"/>
              </w:rPr>
            </w:pPr>
            <w:r w:rsidRPr="00E76C8A">
              <w:rPr>
                <w:rFonts w:eastAsia="Calibri"/>
              </w:rPr>
              <w:t>4</w:t>
            </w:r>
          </w:p>
        </w:tc>
      </w:tr>
      <w:tr w:rsidR="004E298F" w:rsidRPr="00E76C8A" w14:paraId="6FC2AC89" w14:textId="77777777" w:rsidTr="74CC9C3B">
        <w:tc>
          <w:tcPr>
            <w:tcW w:w="3965" w:type="dxa"/>
          </w:tcPr>
          <w:p w14:paraId="1D4BA255" w14:textId="77777777" w:rsidR="004E298F" w:rsidRPr="00E76C8A" w:rsidRDefault="004E298F" w:rsidP="004E298F">
            <w:pPr>
              <w:jc w:val="both"/>
              <w:rPr>
                <w:rFonts w:eastAsia="Calibri"/>
              </w:rPr>
            </w:pPr>
            <w:r w:rsidRPr="00E76C8A">
              <w:t>Government</w:t>
            </w:r>
          </w:p>
        </w:tc>
        <w:tc>
          <w:tcPr>
            <w:tcW w:w="1080" w:type="dxa"/>
          </w:tcPr>
          <w:p w14:paraId="799F46D4" w14:textId="77777777" w:rsidR="004E298F" w:rsidRPr="00E76C8A" w:rsidRDefault="004E298F" w:rsidP="004E298F">
            <w:pPr>
              <w:jc w:val="center"/>
              <w:rPr>
                <w:rFonts w:eastAsia="Calibri"/>
              </w:rPr>
            </w:pPr>
            <w:r w:rsidRPr="00E76C8A">
              <w:rPr>
                <w:rFonts w:eastAsia="Calibri"/>
              </w:rPr>
              <w:t>7</w:t>
            </w:r>
          </w:p>
        </w:tc>
        <w:tc>
          <w:tcPr>
            <w:tcW w:w="1125" w:type="dxa"/>
          </w:tcPr>
          <w:p w14:paraId="6E6D3CCE" w14:textId="77777777" w:rsidR="004E298F" w:rsidRPr="00E76C8A" w:rsidRDefault="004E298F" w:rsidP="004E298F">
            <w:pPr>
              <w:jc w:val="center"/>
              <w:rPr>
                <w:rFonts w:eastAsia="Calibri"/>
              </w:rPr>
            </w:pPr>
            <w:r w:rsidRPr="00E76C8A">
              <w:rPr>
                <w:rFonts w:eastAsia="Calibri"/>
              </w:rPr>
              <w:t>3</w:t>
            </w:r>
          </w:p>
        </w:tc>
      </w:tr>
      <w:tr w:rsidR="004E298F" w:rsidRPr="00E76C8A" w14:paraId="7D768555" w14:textId="77777777" w:rsidTr="74CC9C3B">
        <w:tc>
          <w:tcPr>
            <w:tcW w:w="3965" w:type="dxa"/>
          </w:tcPr>
          <w:p w14:paraId="1A61EDCC" w14:textId="77777777" w:rsidR="004E298F" w:rsidRPr="00E76C8A" w:rsidRDefault="004E298F" w:rsidP="004E298F">
            <w:pPr>
              <w:jc w:val="both"/>
              <w:rPr>
                <w:rFonts w:eastAsia="Calibri"/>
              </w:rPr>
            </w:pPr>
            <w:r w:rsidRPr="00E76C8A">
              <w:t>Finance: Insurance &amp; Real Est.</w:t>
            </w:r>
          </w:p>
        </w:tc>
        <w:tc>
          <w:tcPr>
            <w:tcW w:w="1080" w:type="dxa"/>
          </w:tcPr>
          <w:p w14:paraId="39EC5F7C" w14:textId="77777777" w:rsidR="004E298F" w:rsidRPr="00E76C8A" w:rsidRDefault="004E298F" w:rsidP="004E298F">
            <w:pPr>
              <w:jc w:val="center"/>
              <w:rPr>
                <w:rFonts w:eastAsia="Calibri"/>
              </w:rPr>
            </w:pPr>
            <w:r w:rsidRPr="00E76C8A">
              <w:rPr>
                <w:rFonts w:eastAsia="Calibri"/>
              </w:rPr>
              <w:t>1</w:t>
            </w:r>
          </w:p>
        </w:tc>
        <w:tc>
          <w:tcPr>
            <w:tcW w:w="1125" w:type="dxa"/>
          </w:tcPr>
          <w:p w14:paraId="3C17F09D" w14:textId="77777777" w:rsidR="004E298F" w:rsidRPr="00E76C8A" w:rsidRDefault="004E298F" w:rsidP="004E298F">
            <w:pPr>
              <w:jc w:val="center"/>
              <w:rPr>
                <w:rFonts w:eastAsia="Calibri"/>
              </w:rPr>
            </w:pPr>
            <w:r w:rsidRPr="00E76C8A">
              <w:rPr>
                <w:rFonts w:eastAsia="Calibri"/>
              </w:rPr>
              <w:t>0</w:t>
            </w:r>
          </w:p>
        </w:tc>
      </w:tr>
      <w:tr w:rsidR="004E298F" w:rsidRPr="00E76C8A" w14:paraId="51A926BF" w14:textId="77777777" w:rsidTr="74CC9C3B">
        <w:tc>
          <w:tcPr>
            <w:tcW w:w="3965" w:type="dxa"/>
          </w:tcPr>
          <w:p w14:paraId="46E606F7" w14:textId="77777777" w:rsidR="004E298F" w:rsidRPr="00E76C8A" w:rsidRDefault="004E298F" w:rsidP="004E298F">
            <w:pPr>
              <w:jc w:val="both"/>
              <w:rPr>
                <w:rFonts w:eastAsia="Calibri"/>
              </w:rPr>
            </w:pPr>
            <w:r w:rsidRPr="00E76C8A">
              <w:t>Other</w:t>
            </w:r>
          </w:p>
        </w:tc>
        <w:tc>
          <w:tcPr>
            <w:tcW w:w="1080" w:type="dxa"/>
          </w:tcPr>
          <w:p w14:paraId="01A5F997" w14:textId="77777777" w:rsidR="004E298F" w:rsidRPr="00E76C8A" w:rsidRDefault="004E298F" w:rsidP="004E298F">
            <w:pPr>
              <w:jc w:val="center"/>
              <w:rPr>
                <w:rFonts w:eastAsia="Calibri"/>
              </w:rPr>
            </w:pPr>
            <w:r w:rsidRPr="00E76C8A">
              <w:rPr>
                <w:rFonts w:eastAsia="Calibri"/>
              </w:rPr>
              <w:t>0</w:t>
            </w:r>
          </w:p>
        </w:tc>
        <w:tc>
          <w:tcPr>
            <w:tcW w:w="1125" w:type="dxa"/>
          </w:tcPr>
          <w:p w14:paraId="5764D0BF" w14:textId="77777777" w:rsidR="004E298F" w:rsidRPr="00E76C8A" w:rsidRDefault="004E298F" w:rsidP="004E298F">
            <w:pPr>
              <w:jc w:val="center"/>
              <w:rPr>
                <w:rFonts w:eastAsia="Calibri"/>
              </w:rPr>
            </w:pPr>
            <w:r w:rsidRPr="00E76C8A">
              <w:rPr>
                <w:rFonts w:eastAsia="Calibri"/>
              </w:rPr>
              <w:t>0</w:t>
            </w:r>
          </w:p>
        </w:tc>
      </w:tr>
      <w:tr w:rsidR="004E298F" w:rsidRPr="00E76C8A" w14:paraId="2E729389" w14:textId="77777777" w:rsidTr="74CC9C3B">
        <w:tc>
          <w:tcPr>
            <w:tcW w:w="3965" w:type="dxa"/>
          </w:tcPr>
          <w:p w14:paraId="61406040" w14:textId="77777777" w:rsidR="004E298F" w:rsidRPr="00E76C8A" w:rsidRDefault="004E298F" w:rsidP="004E298F">
            <w:pPr>
              <w:jc w:val="both"/>
              <w:rPr>
                <w:rFonts w:eastAsia="Calibri"/>
              </w:rPr>
            </w:pPr>
            <w:r w:rsidRPr="00E76C8A">
              <w:rPr>
                <w:b/>
                <w:bCs/>
              </w:rPr>
              <w:t>Total</w:t>
            </w:r>
          </w:p>
        </w:tc>
        <w:tc>
          <w:tcPr>
            <w:tcW w:w="1080" w:type="dxa"/>
          </w:tcPr>
          <w:p w14:paraId="7DB9628B" w14:textId="77777777" w:rsidR="004E298F" w:rsidRPr="00E76C8A" w:rsidRDefault="004E298F" w:rsidP="004E298F">
            <w:pPr>
              <w:jc w:val="center"/>
              <w:rPr>
                <w:rFonts w:eastAsia="Calibri"/>
                <w:b/>
              </w:rPr>
            </w:pPr>
            <w:r w:rsidRPr="00E76C8A">
              <w:rPr>
                <w:rFonts w:eastAsia="Calibri"/>
                <w:b/>
              </w:rPr>
              <w:t>68</w:t>
            </w:r>
          </w:p>
        </w:tc>
        <w:tc>
          <w:tcPr>
            <w:tcW w:w="1125" w:type="dxa"/>
          </w:tcPr>
          <w:p w14:paraId="4C0672E5" w14:textId="77777777" w:rsidR="004E298F" w:rsidRPr="00E76C8A" w:rsidRDefault="004E298F" w:rsidP="004E298F">
            <w:pPr>
              <w:jc w:val="center"/>
              <w:rPr>
                <w:rFonts w:eastAsia="Calibri"/>
                <w:b/>
              </w:rPr>
            </w:pPr>
            <w:r w:rsidRPr="00E76C8A">
              <w:rPr>
                <w:rFonts w:eastAsia="Calibri"/>
                <w:b/>
              </w:rPr>
              <w:t>71</w:t>
            </w:r>
          </w:p>
        </w:tc>
      </w:tr>
    </w:tbl>
    <w:p w14:paraId="364A0F33" w14:textId="77777777" w:rsidR="00B5710E" w:rsidRDefault="00B5710E" w:rsidP="001E3D72">
      <w:pPr>
        <w:jc w:val="both"/>
        <w:rPr>
          <w:color w:val="FF0000"/>
        </w:rPr>
      </w:pPr>
    </w:p>
    <w:p w14:paraId="525D2C0C" w14:textId="77777777" w:rsidR="002B0C9A" w:rsidRDefault="002B0C9A" w:rsidP="001E3D72">
      <w:pPr>
        <w:jc w:val="both"/>
        <w:rPr>
          <w:color w:val="FF0000"/>
        </w:rPr>
      </w:pPr>
    </w:p>
    <w:p w14:paraId="669CB9F4" w14:textId="77777777" w:rsidR="002B0C9A" w:rsidRDefault="002B0C9A" w:rsidP="001E3D72">
      <w:pPr>
        <w:jc w:val="both"/>
        <w:rPr>
          <w:color w:val="FF0000"/>
        </w:rPr>
      </w:pPr>
    </w:p>
    <w:p w14:paraId="21622179" w14:textId="77777777" w:rsidR="002B0C9A" w:rsidRDefault="002B0C9A" w:rsidP="001E3D72">
      <w:pPr>
        <w:jc w:val="both"/>
        <w:rPr>
          <w:color w:val="FF0000"/>
        </w:rPr>
      </w:pPr>
    </w:p>
    <w:p w14:paraId="3AA13721" w14:textId="77777777" w:rsidR="004A6AD9" w:rsidRDefault="004A6AD9" w:rsidP="001E3D72">
      <w:pPr>
        <w:jc w:val="both"/>
        <w:rPr>
          <w:color w:val="FF0000"/>
        </w:rPr>
      </w:pPr>
    </w:p>
    <w:p w14:paraId="40B8FAE3" w14:textId="77777777" w:rsidR="00366B2D" w:rsidRDefault="00366B2D" w:rsidP="001E3D72">
      <w:pPr>
        <w:jc w:val="both"/>
        <w:rPr>
          <w:color w:val="FF0000"/>
        </w:rPr>
      </w:pPr>
    </w:p>
    <w:p w14:paraId="55E1C907" w14:textId="77777777" w:rsidR="00366B2D" w:rsidRDefault="00366B2D" w:rsidP="001E3D72">
      <w:pPr>
        <w:jc w:val="both"/>
        <w:rPr>
          <w:color w:val="FF0000"/>
        </w:rPr>
      </w:pPr>
    </w:p>
    <w:p w14:paraId="1698D909" w14:textId="77777777" w:rsidR="00366B2D" w:rsidRDefault="00366B2D" w:rsidP="001E3D72">
      <w:pPr>
        <w:jc w:val="both"/>
        <w:rPr>
          <w:color w:val="FF0000"/>
        </w:rPr>
      </w:pPr>
    </w:p>
    <w:p w14:paraId="021AEFE0" w14:textId="77777777" w:rsidR="00366B2D" w:rsidRDefault="00366B2D" w:rsidP="001E3D72">
      <w:pPr>
        <w:jc w:val="both"/>
        <w:rPr>
          <w:color w:val="FF0000"/>
        </w:rPr>
      </w:pPr>
    </w:p>
    <w:p w14:paraId="30C184FE" w14:textId="77777777" w:rsidR="00366B2D" w:rsidRDefault="00366B2D" w:rsidP="001E3D72">
      <w:pPr>
        <w:jc w:val="both"/>
        <w:rPr>
          <w:color w:val="FF0000"/>
        </w:rPr>
      </w:pPr>
    </w:p>
    <w:p w14:paraId="2BF903FF" w14:textId="77777777" w:rsidR="00366B2D" w:rsidRDefault="00366B2D" w:rsidP="001E3D72">
      <w:pPr>
        <w:jc w:val="both"/>
        <w:rPr>
          <w:color w:val="FF0000"/>
        </w:rPr>
      </w:pPr>
    </w:p>
    <w:p w14:paraId="28764B25" w14:textId="77777777" w:rsidR="00366B2D" w:rsidRDefault="00366B2D" w:rsidP="001E3D72">
      <w:pPr>
        <w:jc w:val="both"/>
        <w:rPr>
          <w:color w:val="FF0000"/>
        </w:rPr>
      </w:pPr>
    </w:p>
    <w:p w14:paraId="3929E52B" w14:textId="77777777" w:rsidR="00366B2D" w:rsidRDefault="00366B2D" w:rsidP="001E3D72">
      <w:pPr>
        <w:jc w:val="both"/>
        <w:rPr>
          <w:color w:val="FF0000"/>
        </w:rPr>
      </w:pPr>
    </w:p>
    <w:p w14:paraId="7791FF8C" w14:textId="77777777" w:rsidR="00366B2D" w:rsidRDefault="00366B2D" w:rsidP="001E3D72">
      <w:pPr>
        <w:jc w:val="both"/>
        <w:rPr>
          <w:color w:val="FF0000"/>
        </w:rPr>
      </w:pPr>
    </w:p>
    <w:p w14:paraId="205DBA0E" w14:textId="37059598" w:rsidR="0080518C" w:rsidRDefault="0080518C" w:rsidP="0080518C">
      <w:pPr>
        <w:widowControl/>
        <w:autoSpaceDE/>
        <w:autoSpaceDN/>
        <w:adjustRightInd/>
        <w:ind w:left="1260"/>
        <w:contextualSpacing/>
        <w:jc w:val="both"/>
      </w:pPr>
      <w:r w:rsidRPr="0080518C">
        <w:t xml:space="preserve">During FY 2023, </w:t>
      </w:r>
      <w:r w:rsidR="00D97D16" w:rsidRPr="0080518C">
        <w:t xml:space="preserve">59 </w:t>
      </w:r>
      <w:r w:rsidRPr="0080518C">
        <w:t xml:space="preserve">fatality </w:t>
      </w:r>
      <w:r w:rsidR="00D97D16" w:rsidRPr="0080518C">
        <w:t xml:space="preserve">inspections had citations issued.  Of the 59 cases with citations, 22 are still open and 12 of those are contested.  </w:t>
      </w:r>
      <w:r w:rsidRPr="0080518C">
        <w:t>The penalty at issuance was $1.72 million and the State retain</w:t>
      </w:r>
      <w:r>
        <w:t>ed</w:t>
      </w:r>
      <w:r w:rsidRPr="0080518C">
        <w:t xml:space="preserve"> 86% of the penalty during settlement discussions.  In FY 2023, OSHNC has </w:t>
      </w:r>
      <w:r>
        <w:t xml:space="preserve">also </w:t>
      </w:r>
      <w:r w:rsidRPr="0080518C">
        <w:t>been aggressive with heat stress citations under the General Duty Clause with penalties up to $145,027 following a heat-related fatality.</w:t>
      </w:r>
    </w:p>
    <w:p w14:paraId="46B7660E" w14:textId="77777777" w:rsidR="0080518C" w:rsidRDefault="0080518C" w:rsidP="0080518C">
      <w:pPr>
        <w:widowControl/>
        <w:autoSpaceDE/>
        <w:autoSpaceDN/>
        <w:adjustRightInd/>
        <w:ind w:left="1260"/>
        <w:contextualSpacing/>
        <w:jc w:val="both"/>
      </w:pPr>
    </w:p>
    <w:p w14:paraId="650736CD" w14:textId="16433C70" w:rsidR="0080518C" w:rsidRDefault="00866CAC" w:rsidP="00866CAC">
      <w:pPr>
        <w:pStyle w:val="block1"/>
        <w:tabs>
          <w:tab w:val="left" w:pos="9360"/>
        </w:tabs>
        <w:spacing w:before="0" w:beforeAutospacing="0" w:after="0" w:afterAutospacing="0"/>
        <w:ind w:left="1260"/>
        <w:jc w:val="both"/>
        <w:rPr>
          <w:color w:val="000000"/>
          <w:sz w:val="24"/>
          <w:szCs w:val="24"/>
        </w:rPr>
      </w:pPr>
      <w:r w:rsidRPr="00F107AA">
        <w:rPr>
          <w:color w:val="000000"/>
          <w:sz w:val="24"/>
          <w:szCs w:val="24"/>
        </w:rPr>
        <w:t>In FY 20</w:t>
      </w:r>
      <w:r>
        <w:rPr>
          <w:color w:val="000000"/>
          <w:sz w:val="24"/>
          <w:szCs w:val="24"/>
        </w:rPr>
        <w:t>23</w:t>
      </w:r>
      <w:r w:rsidRPr="00F107AA">
        <w:rPr>
          <w:color w:val="000000"/>
          <w:sz w:val="24"/>
          <w:szCs w:val="24"/>
        </w:rPr>
        <w:t xml:space="preserve">, </w:t>
      </w:r>
      <w:r>
        <w:rPr>
          <w:color w:val="000000"/>
          <w:sz w:val="24"/>
          <w:szCs w:val="24"/>
        </w:rPr>
        <w:t>fatality investigations</w:t>
      </w:r>
      <w:r w:rsidRPr="00F107AA">
        <w:rPr>
          <w:color w:val="000000"/>
          <w:sz w:val="24"/>
          <w:szCs w:val="24"/>
        </w:rPr>
        <w:t xml:space="preserve"> resulted in the following number of violations: </w:t>
      </w:r>
    </w:p>
    <w:p w14:paraId="214A3258" w14:textId="77777777" w:rsidR="004E298F" w:rsidRPr="00866CAC" w:rsidRDefault="004E298F" w:rsidP="00866CAC">
      <w:pPr>
        <w:pStyle w:val="block1"/>
        <w:tabs>
          <w:tab w:val="left" w:pos="9360"/>
        </w:tabs>
        <w:spacing w:before="0" w:beforeAutospacing="0" w:after="0" w:afterAutospacing="0"/>
        <w:ind w:left="1260"/>
        <w:jc w:val="both"/>
        <w:rPr>
          <w:color w:val="000000"/>
          <w:sz w:val="24"/>
          <w:szCs w:val="24"/>
        </w:rPr>
      </w:pPr>
    </w:p>
    <w:tbl>
      <w:tblPr>
        <w:tblpPr w:leftFromText="180" w:rightFromText="180" w:vertAnchor="text" w:horzAnchor="margin" w:tblpXSpec="center"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45"/>
        <w:gridCol w:w="1165"/>
      </w:tblGrid>
      <w:tr w:rsidR="0059583E" w14:paraId="6006B95F" w14:textId="77777777" w:rsidTr="74CC9C3B">
        <w:tc>
          <w:tcPr>
            <w:tcW w:w="2345" w:type="dxa"/>
            <w:tcMar>
              <w:top w:w="0" w:type="dxa"/>
              <w:left w:w="108" w:type="dxa"/>
              <w:bottom w:w="0" w:type="dxa"/>
              <w:right w:w="108" w:type="dxa"/>
            </w:tcMar>
            <w:hideMark/>
          </w:tcPr>
          <w:p w14:paraId="30A0660F" w14:textId="77777777" w:rsidR="0059583E" w:rsidRDefault="0059583E" w:rsidP="0059583E">
            <w:r>
              <w:t>Number of Violations</w:t>
            </w:r>
          </w:p>
        </w:tc>
        <w:tc>
          <w:tcPr>
            <w:tcW w:w="1165" w:type="dxa"/>
            <w:tcMar>
              <w:top w:w="0" w:type="dxa"/>
              <w:left w:w="108" w:type="dxa"/>
              <w:bottom w:w="0" w:type="dxa"/>
              <w:right w:w="108" w:type="dxa"/>
            </w:tcMar>
            <w:hideMark/>
          </w:tcPr>
          <w:p w14:paraId="147823EB" w14:textId="77777777" w:rsidR="0059583E" w:rsidRDefault="0059583E" w:rsidP="0059583E">
            <w:pPr>
              <w:jc w:val="center"/>
            </w:pPr>
            <w:r>
              <w:t>OSHNC</w:t>
            </w:r>
          </w:p>
        </w:tc>
      </w:tr>
      <w:tr w:rsidR="0059583E" w14:paraId="02354C96" w14:textId="77777777" w:rsidTr="74CC9C3B">
        <w:tc>
          <w:tcPr>
            <w:tcW w:w="2345" w:type="dxa"/>
            <w:tcMar>
              <w:top w:w="0" w:type="dxa"/>
              <w:left w:w="108" w:type="dxa"/>
              <w:bottom w:w="0" w:type="dxa"/>
              <w:right w:w="108" w:type="dxa"/>
            </w:tcMar>
            <w:hideMark/>
          </w:tcPr>
          <w:p w14:paraId="7D026AE4" w14:textId="77777777" w:rsidR="0059583E" w:rsidRDefault="0059583E" w:rsidP="0059583E">
            <w:r>
              <w:t>Willful</w:t>
            </w:r>
          </w:p>
        </w:tc>
        <w:tc>
          <w:tcPr>
            <w:tcW w:w="1165" w:type="dxa"/>
            <w:tcMar>
              <w:top w:w="0" w:type="dxa"/>
              <w:left w:w="108" w:type="dxa"/>
              <w:bottom w:w="0" w:type="dxa"/>
              <w:right w:w="108" w:type="dxa"/>
            </w:tcMar>
            <w:hideMark/>
          </w:tcPr>
          <w:p w14:paraId="60CBB6EB" w14:textId="77777777" w:rsidR="0059583E" w:rsidRDefault="0059583E" w:rsidP="0059583E">
            <w:pPr>
              <w:jc w:val="center"/>
            </w:pPr>
            <w:r>
              <w:t>7</w:t>
            </w:r>
          </w:p>
        </w:tc>
      </w:tr>
      <w:tr w:rsidR="0059583E" w14:paraId="6C763E24" w14:textId="77777777" w:rsidTr="74CC9C3B">
        <w:tc>
          <w:tcPr>
            <w:tcW w:w="2345" w:type="dxa"/>
            <w:tcMar>
              <w:top w:w="0" w:type="dxa"/>
              <w:left w:w="108" w:type="dxa"/>
              <w:bottom w:w="0" w:type="dxa"/>
              <w:right w:w="108" w:type="dxa"/>
            </w:tcMar>
            <w:hideMark/>
          </w:tcPr>
          <w:p w14:paraId="51C7C998" w14:textId="77777777" w:rsidR="0059583E" w:rsidRDefault="0059583E" w:rsidP="0059583E">
            <w:r>
              <w:t>Repeat</w:t>
            </w:r>
          </w:p>
        </w:tc>
        <w:tc>
          <w:tcPr>
            <w:tcW w:w="1165" w:type="dxa"/>
            <w:tcMar>
              <w:top w:w="0" w:type="dxa"/>
              <w:left w:w="108" w:type="dxa"/>
              <w:bottom w:w="0" w:type="dxa"/>
              <w:right w:w="108" w:type="dxa"/>
            </w:tcMar>
            <w:hideMark/>
          </w:tcPr>
          <w:p w14:paraId="788DA169" w14:textId="77777777" w:rsidR="0059583E" w:rsidRDefault="0059583E" w:rsidP="0059583E">
            <w:pPr>
              <w:jc w:val="center"/>
            </w:pPr>
            <w:r>
              <w:t>2</w:t>
            </w:r>
          </w:p>
        </w:tc>
      </w:tr>
      <w:tr w:rsidR="0059583E" w14:paraId="03023915" w14:textId="77777777" w:rsidTr="74CC9C3B">
        <w:tc>
          <w:tcPr>
            <w:tcW w:w="2345" w:type="dxa"/>
            <w:tcMar>
              <w:top w:w="0" w:type="dxa"/>
              <w:left w:w="108" w:type="dxa"/>
              <w:bottom w:w="0" w:type="dxa"/>
              <w:right w:w="108" w:type="dxa"/>
            </w:tcMar>
            <w:hideMark/>
          </w:tcPr>
          <w:p w14:paraId="0F3AD4CE" w14:textId="77777777" w:rsidR="0059583E" w:rsidRDefault="0059583E" w:rsidP="0059583E">
            <w:r>
              <w:t>Serious</w:t>
            </w:r>
          </w:p>
        </w:tc>
        <w:tc>
          <w:tcPr>
            <w:tcW w:w="1165" w:type="dxa"/>
            <w:tcMar>
              <w:top w:w="0" w:type="dxa"/>
              <w:left w:w="108" w:type="dxa"/>
              <w:bottom w:w="0" w:type="dxa"/>
              <w:right w:w="108" w:type="dxa"/>
            </w:tcMar>
            <w:hideMark/>
          </w:tcPr>
          <w:p w14:paraId="5F02A1B3" w14:textId="77777777" w:rsidR="0059583E" w:rsidRDefault="0059583E" w:rsidP="0059583E">
            <w:pPr>
              <w:jc w:val="center"/>
            </w:pPr>
            <w:r>
              <w:t>145</w:t>
            </w:r>
          </w:p>
        </w:tc>
      </w:tr>
      <w:tr w:rsidR="0059583E" w14:paraId="1D6B2D18" w14:textId="77777777" w:rsidTr="74CC9C3B">
        <w:tc>
          <w:tcPr>
            <w:tcW w:w="2345" w:type="dxa"/>
            <w:tcMar>
              <w:top w:w="0" w:type="dxa"/>
              <w:left w:w="108" w:type="dxa"/>
              <w:bottom w:w="0" w:type="dxa"/>
              <w:right w:w="108" w:type="dxa"/>
            </w:tcMar>
            <w:hideMark/>
          </w:tcPr>
          <w:p w14:paraId="07548112" w14:textId="77777777" w:rsidR="0059583E" w:rsidRDefault="0059583E" w:rsidP="0059583E">
            <w:r>
              <w:t>Nonserious</w:t>
            </w:r>
          </w:p>
        </w:tc>
        <w:tc>
          <w:tcPr>
            <w:tcW w:w="1165" w:type="dxa"/>
            <w:tcMar>
              <w:top w:w="0" w:type="dxa"/>
              <w:left w:w="108" w:type="dxa"/>
              <w:bottom w:w="0" w:type="dxa"/>
              <w:right w:w="108" w:type="dxa"/>
            </w:tcMar>
            <w:hideMark/>
          </w:tcPr>
          <w:p w14:paraId="4FE849FC" w14:textId="77777777" w:rsidR="0059583E" w:rsidRDefault="0059583E" w:rsidP="0059583E">
            <w:pPr>
              <w:jc w:val="center"/>
            </w:pPr>
            <w:r>
              <w:t>32</w:t>
            </w:r>
          </w:p>
        </w:tc>
      </w:tr>
    </w:tbl>
    <w:p w14:paraId="50A08E2C" w14:textId="77777777" w:rsidR="00866CAC" w:rsidRDefault="00866CAC" w:rsidP="007B72AC">
      <w:pPr>
        <w:ind w:left="1260"/>
        <w:jc w:val="both"/>
        <w:rPr>
          <w:color w:val="000000" w:themeColor="text1"/>
        </w:rPr>
      </w:pPr>
    </w:p>
    <w:p w14:paraId="1CA6F881" w14:textId="77777777" w:rsidR="00366B2D" w:rsidRDefault="00366B2D" w:rsidP="007B72AC">
      <w:pPr>
        <w:ind w:left="1260"/>
        <w:jc w:val="both"/>
        <w:rPr>
          <w:color w:val="000000" w:themeColor="text1"/>
        </w:rPr>
      </w:pPr>
    </w:p>
    <w:p w14:paraId="061FD89F" w14:textId="77777777" w:rsidR="00366B2D" w:rsidRDefault="00366B2D" w:rsidP="007B72AC">
      <w:pPr>
        <w:ind w:left="1260"/>
        <w:jc w:val="both"/>
        <w:rPr>
          <w:color w:val="000000" w:themeColor="text1"/>
        </w:rPr>
      </w:pPr>
    </w:p>
    <w:p w14:paraId="5E02CBA4" w14:textId="77777777" w:rsidR="00366B2D" w:rsidRDefault="00366B2D" w:rsidP="007B72AC">
      <w:pPr>
        <w:ind w:left="1260"/>
        <w:jc w:val="both"/>
        <w:rPr>
          <w:color w:val="000000" w:themeColor="text1"/>
        </w:rPr>
      </w:pPr>
    </w:p>
    <w:p w14:paraId="5B21D479" w14:textId="77777777" w:rsidR="00366B2D" w:rsidRDefault="00366B2D" w:rsidP="007B72AC">
      <w:pPr>
        <w:ind w:left="1260"/>
        <w:jc w:val="both"/>
        <w:rPr>
          <w:color w:val="000000" w:themeColor="text1"/>
        </w:rPr>
      </w:pPr>
    </w:p>
    <w:p w14:paraId="434EB4EF" w14:textId="77777777" w:rsidR="00366B2D" w:rsidRDefault="00366B2D" w:rsidP="007B72AC">
      <w:pPr>
        <w:ind w:left="1260"/>
        <w:jc w:val="both"/>
        <w:rPr>
          <w:color w:val="000000" w:themeColor="text1"/>
        </w:rPr>
      </w:pPr>
    </w:p>
    <w:p w14:paraId="75B0D690" w14:textId="77777777" w:rsidR="00366B2D" w:rsidRDefault="00366B2D" w:rsidP="007B72AC">
      <w:pPr>
        <w:ind w:left="1260"/>
        <w:jc w:val="both"/>
        <w:rPr>
          <w:color w:val="000000" w:themeColor="text1"/>
        </w:rPr>
      </w:pPr>
    </w:p>
    <w:p w14:paraId="1A1A58B9" w14:textId="3D8014F5" w:rsidR="007B72AC" w:rsidRPr="007B72AC" w:rsidRDefault="00866CAC" w:rsidP="007B72AC">
      <w:pPr>
        <w:ind w:left="1260"/>
        <w:jc w:val="both"/>
      </w:pPr>
      <w:r>
        <w:rPr>
          <w:color w:val="000000" w:themeColor="text1"/>
        </w:rPr>
        <w:t>T</w:t>
      </w:r>
      <w:r w:rsidR="007B72AC" w:rsidRPr="00F72BD4">
        <w:rPr>
          <w:color w:val="000000" w:themeColor="text1"/>
        </w:rPr>
        <w:t xml:space="preserve">he OSH Division’s Unmanned Aircraft Systems (UAS) Program was utilized as a resource during compliance inspections that require aerial photographs and videos. In FY 2023, drones were successfully deployed on </w:t>
      </w:r>
      <w:r w:rsidR="0080518C">
        <w:rPr>
          <w:color w:val="000000" w:themeColor="text1"/>
        </w:rPr>
        <w:t xml:space="preserve">multiple fatality </w:t>
      </w:r>
      <w:r w:rsidR="007B72AC" w:rsidRPr="00F72BD4">
        <w:rPr>
          <w:color w:val="000000" w:themeColor="text1"/>
        </w:rPr>
        <w:t>inspections which aided in evidence collection where staff would otherwise have not been able to reach the site due to unsafe conditions. These inspections included multiple high-profile fatality and accident investigations such as a mast climbing scaffold collapse which resulted in three fatalities, a struck by front loader which resulted in a leg amputation, and an electrocution from an excavator contacting an overhead power line. </w:t>
      </w:r>
    </w:p>
    <w:p w14:paraId="67BB5E37" w14:textId="77777777" w:rsidR="007B72AC" w:rsidRPr="00B01D72" w:rsidRDefault="007B72AC" w:rsidP="00B01D72">
      <w:pPr>
        <w:ind w:left="1260"/>
        <w:jc w:val="both"/>
        <w:rPr>
          <w:iCs/>
        </w:rPr>
      </w:pPr>
    </w:p>
    <w:p w14:paraId="7E97B0F3" w14:textId="00F253CD" w:rsidR="000871D9" w:rsidRDefault="000871D9" w:rsidP="000871D9">
      <w:pPr>
        <w:tabs>
          <w:tab w:val="left" w:pos="1890"/>
        </w:tabs>
        <w:ind w:left="1260"/>
        <w:contextualSpacing/>
        <w:jc w:val="both"/>
        <w:rPr>
          <w:color w:val="000000"/>
        </w:rPr>
      </w:pPr>
      <w:r>
        <w:rPr>
          <w:color w:val="000000"/>
        </w:rPr>
        <w:t>The NC Attorney General’s Office works closely with the CSHO when a fatality case file is being prepared to assure that the case documentation is legally sufficient.  Contacts between the CSHO and the attorney were documented in the case files. Fatality investigations are required by Administrative Procedure Notice (APN) 16D to go through a review by a Citation Review Committee, made up of senior management and legal staff prior to issuance of citations or determination of an in-compliance investigation.  The determination must be reviewed and signed by the OSH Director.  Informal settlement agreements related to fatality cases also receive a higher-level review.</w:t>
      </w:r>
    </w:p>
    <w:p w14:paraId="163E5FCD" w14:textId="77777777" w:rsidR="00866CAC" w:rsidRDefault="00866CAC" w:rsidP="000871D9">
      <w:pPr>
        <w:tabs>
          <w:tab w:val="left" w:pos="1890"/>
        </w:tabs>
        <w:ind w:left="1260"/>
        <w:contextualSpacing/>
        <w:jc w:val="both"/>
        <w:rPr>
          <w:color w:val="000000"/>
        </w:rPr>
      </w:pPr>
    </w:p>
    <w:p w14:paraId="5365EEED" w14:textId="77777777" w:rsidR="00866CAC" w:rsidRDefault="00866CAC" w:rsidP="00866CAC">
      <w:pPr>
        <w:ind w:left="1260"/>
        <w:jc w:val="both"/>
      </w:pPr>
      <w:r w:rsidRPr="00B01D72">
        <w:t>OSHNC has taken a proactive approach to help prevent injuries, illnesses, and fatalities in North Carolina’s workplaces by establishing partnerships with some of the most hazardous industries.  OSHNC continues to place increased emphasis on tracking specific injuries and fatalities monthly.  If there is an increase in injuries and fatalities, additional resources are allocated, including inspection and focused training events.</w:t>
      </w:r>
    </w:p>
    <w:p w14:paraId="03B5E4ED" w14:textId="77777777" w:rsidR="00384419" w:rsidRPr="004C2D76" w:rsidRDefault="00384419" w:rsidP="00866CAC">
      <w:pPr>
        <w:widowControl/>
        <w:tabs>
          <w:tab w:val="left" w:pos="1260"/>
        </w:tabs>
        <w:autoSpaceDE/>
        <w:autoSpaceDN/>
        <w:adjustRightInd/>
        <w:spacing w:after="200"/>
        <w:contextualSpacing/>
        <w:rPr>
          <w:color w:val="FF0000"/>
        </w:rPr>
      </w:pPr>
    </w:p>
    <w:p w14:paraId="741BFA7D" w14:textId="77777777" w:rsidR="00384419" w:rsidRPr="00191C39" w:rsidRDefault="009D79D6">
      <w:pPr>
        <w:widowControl/>
        <w:tabs>
          <w:tab w:val="left" w:pos="1260"/>
        </w:tabs>
        <w:autoSpaceDE/>
        <w:autoSpaceDN/>
        <w:adjustRightInd/>
        <w:spacing w:after="200"/>
        <w:ind w:left="1890" w:hanging="990"/>
        <w:contextualSpacing/>
      </w:pPr>
      <w:r w:rsidRPr="00191C39">
        <w:t>c)  Targeting and Programmed Inspection</w:t>
      </w:r>
    </w:p>
    <w:p w14:paraId="7065758F" w14:textId="77777777" w:rsidR="00384419" w:rsidRPr="00191C39" w:rsidRDefault="009D79D6">
      <w:pPr>
        <w:ind w:left="1260"/>
        <w:jc w:val="both"/>
      </w:pPr>
      <w:r w:rsidRPr="00191C39">
        <w:t xml:space="preserve"> </w:t>
      </w:r>
    </w:p>
    <w:p w14:paraId="7F5BDB5E" w14:textId="0E4E91F5" w:rsidR="00384419" w:rsidRPr="00606C82" w:rsidRDefault="009D79D6">
      <w:pPr>
        <w:ind w:left="1260"/>
        <w:jc w:val="both"/>
      </w:pPr>
      <w:bookmarkStart w:id="8" w:name="_Hlk157671244"/>
      <w:r w:rsidRPr="00A84949">
        <w:t xml:space="preserve">According to inspection statistics reviewed, OSHNC conducted </w:t>
      </w:r>
      <w:r w:rsidR="00191C39" w:rsidRPr="00A84949">
        <w:t>1</w:t>
      </w:r>
      <w:r w:rsidR="00C854A6" w:rsidRPr="00A84949">
        <w:t>,</w:t>
      </w:r>
      <w:r w:rsidR="00191C39" w:rsidRPr="00A84949">
        <w:t>761</w:t>
      </w:r>
      <w:r w:rsidRPr="00A84949">
        <w:t xml:space="preserve"> inspections in </w:t>
      </w:r>
      <w:r w:rsidR="00C510E1" w:rsidRPr="00A84949">
        <w:t>FY 2023</w:t>
      </w:r>
      <w:r w:rsidRPr="00A84949">
        <w:t xml:space="preserve">, of which </w:t>
      </w:r>
      <w:r w:rsidR="00191C39" w:rsidRPr="00A84949">
        <w:t>953</w:t>
      </w:r>
      <w:r w:rsidRPr="00A84949">
        <w:t xml:space="preserve"> were programmed. </w:t>
      </w:r>
      <w:r w:rsidR="458F9F12" w:rsidRPr="55214296">
        <w:t xml:space="preserve">OSHNC </w:t>
      </w:r>
      <w:r w:rsidRPr="00A84949">
        <w:t xml:space="preserve">conducted </w:t>
      </w:r>
      <w:r w:rsidR="458F9F12" w:rsidRPr="55214296">
        <w:t>915</w:t>
      </w:r>
      <w:r w:rsidRPr="004E298F">
        <w:t xml:space="preserve"> construction </w:t>
      </w:r>
      <w:bookmarkEnd w:id="8"/>
      <w:r w:rsidR="458F9F12" w:rsidRPr="55214296">
        <w:t>inspections in FY 23 and 624 of those were programmed.</w:t>
      </w:r>
      <w:r w:rsidRPr="004E298F">
        <w:t xml:space="preserve">  Construction work is considered high hazard, and</w:t>
      </w:r>
      <w:r w:rsidRPr="00191C39">
        <w:t xml:space="preserve"> inspection sites are targeted using several procedures, based on specified criteria.  North Carolina conducts a high number of programmed inspections in the construction sector, particularly under their Special Emphasis Program (SEP) for high emphasis counties.  These counties are associated with their strategic goal to reduce construction fatalities. </w:t>
      </w:r>
      <w:r w:rsidRPr="00CC2B8A">
        <w:t xml:space="preserve"> </w:t>
      </w:r>
      <w:r w:rsidRPr="00191C39">
        <w:t xml:space="preserve">According to the SIR, </w:t>
      </w:r>
      <w:r w:rsidR="00191C39" w:rsidRPr="00191C39">
        <w:t>65.19</w:t>
      </w:r>
      <w:r w:rsidRPr="00191C39">
        <w:t xml:space="preserve">% of private sector programmed safety inspections and </w:t>
      </w:r>
      <w:r w:rsidR="00191C39" w:rsidRPr="00191C39">
        <w:t>71.85</w:t>
      </w:r>
      <w:r w:rsidRPr="00191C39">
        <w:t xml:space="preserve">% of private sector programmed health inspections </w:t>
      </w:r>
      <w:r w:rsidR="00191C39" w:rsidRPr="00191C39">
        <w:t>were issued with</w:t>
      </w:r>
      <w:r w:rsidRPr="00191C39">
        <w:t xml:space="preserve"> violations</w:t>
      </w:r>
      <w:r w:rsidRPr="00606C82">
        <w:t>.  Of those, 8</w:t>
      </w:r>
      <w:r w:rsidR="00606C82" w:rsidRPr="00606C82">
        <w:t>8</w:t>
      </w:r>
      <w:r w:rsidRPr="00606C82">
        <w:t>.</w:t>
      </w:r>
      <w:r w:rsidR="00606C82" w:rsidRPr="00606C82">
        <w:t>58</w:t>
      </w:r>
      <w:r w:rsidRPr="00606C82">
        <w:t xml:space="preserve">% of safety inspections and </w:t>
      </w:r>
      <w:r w:rsidR="00606C82" w:rsidRPr="00606C82">
        <w:t>88.02</w:t>
      </w:r>
      <w:r w:rsidRPr="00606C82">
        <w:t>% of health inspections, as issued, had serious, repeat, and/or willful violations (SRW) [SIR Measure 2d].   OSHNC’s Program Targeting System is identifying industries. where serious hazards are more likely to exist. OSHNC is finding Serious/Willful/Repeat (S/W/R) violations during programmed inspections.</w:t>
      </w:r>
    </w:p>
    <w:p w14:paraId="01FB9F10" w14:textId="77777777" w:rsidR="00384419" w:rsidRPr="004C2D76" w:rsidRDefault="00384419" w:rsidP="55214296">
      <w:pPr>
        <w:ind w:left="2160"/>
        <w:jc w:val="both"/>
        <w:rPr>
          <w:color w:val="FF0000"/>
        </w:rPr>
      </w:pPr>
    </w:p>
    <w:p w14:paraId="06A63FBE" w14:textId="77777777" w:rsidR="006C42E7" w:rsidRDefault="009D79D6" w:rsidP="006C42E7">
      <w:pPr>
        <w:ind w:left="1260"/>
        <w:jc w:val="both"/>
        <w:rPr>
          <w:bCs/>
        </w:rPr>
      </w:pPr>
      <w:r w:rsidRPr="006C42E7">
        <w:rPr>
          <w:bCs/>
        </w:rPr>
        <w:t>The State Plan’s strategy for reducing injury, illness, and fatality rates is based on addressing specific areas that have the greatest impact on the overall rates.  The areas of emphasis in the current Strategic Plan include, Construction, Logging and Arboriculture, Grocery and Related Product Wholesalers, Long Term Care, Exposures for Health Hazards (asbestos, lead, isocyanates, silica, hexavalent chromium), Food Manufacturing and Amputations.</w:t>
      </w:r>
    </w:p>
    <w:p w14:paraId="094EAE34" w14:textId="77777777" w:rsidR="006C42E7" w:rsidRDefault="006C42E7" w:rsidP="006C42E7">
      <w:pPr>
        <w:ind w:left="1260"/>
        <w:jc w:val="both"/>
        <w:rPr>
          <w:bCs/>
        </w:rPr>
      </w:pPr>
    </w:p>
    <w:p w14:paraId="684E11A8" w14:textId="3E53E5AC" w:rsidR="006C42E7" w:rsidRDefault="006C42E7" w:rsidP="006C42E7">
      <w:pPr>
        <w:ind w:left="1260"/>
        <w:jc w:val="both"/>
        <w:rPr>
          <w:bCs/>
        </w:rPr>
      </w:pPr>
      <w:r w:rsidRPr="00F72BD4">
        <w:t xml:space="preserve">Since </w:t>
      </w:r>
      <w:r>
        <w:t>FY 20</w:t>
      </w:r>
      <w:r w:rsidRPr="00F72BD4">
        <w:t xml:space="preserve">, OSH Compliance has conducted 226 programmed planned Amputations SEP inspections including 73 in FY 23.  This targeting program has proven to be very successful </w:t>
      </w:r>
      <w:r w:rsidRPr="00F72BD4">
        <w:lastRenderedPageBreak/>
        <w:t>as SWR violations have been identified on nearly 75% of inspections.  During FY 23, OSH Compliance averaged 2.75 Serious, Willful, or Repeat (SWR) violations on each programmed planned Amputation inspection</w:t>
      </w:r>
      <w:r>
        <w:t xml:space="preserve">.  </w:t>
      </w:r>
      <w:r w:rsidRPr="00F72BD4">
        <w:t>Nine of the top ten standards cited under this SEP in FY 23 were for machine guarding or lockout/tagout violations, the exact amputation hazards this program is targeting.</w:t>
      </w:r>
    </w:p>
    <w:p w14:paraId="57D1149C" w14:textId="77777777" w:rsidR="006C42E7" w:rsidRDefault="006C42E7" w:rsidP="006C42E7">
      <w:pPr>
        <w:ind w:left="1260"/>
        <w:jc w:val="both"/>
        <w:rPr>
          <w:bCs/>
        </w:rPr>
      </w:pPr>
    </w:p>
    <w:p w14:paraId="6CDF95E1" w14:textId="65221977" w:rsidR="006C42E7" w:rsidRPr="006C42E7" w:rsidRDefault="006C42E7" w:rsidP="006C42E7">
      <w:pPr>
        <w:ind w:left="1260"/>
        <w:jc w:val="both"/>
        <w:rPr>
          <w:bCs/>
        </w:rPr>
      </w:pPr>
      <w:r w:rsidRPr="00F72BD4">
        <w:t xml:space="preserve">The Health Hazards SEP uses the General Schedule targeting </w:t>
      </w:r>
      <w:r>
        <w:t xml:space="preserve">metrics </w:t>
      </w:r>
      <w:r w:rsidRPr="00F72BD4">
        <w:t>and overlays NAICS codes likely to have one of the SEP chemicals – silica, lead, isocyanates, asbestos, or hexavalent chromium.  Since FY</w:t>
      </w:r>
      <w:r w:rsidR="00420E75">
        <w:t xml:space="preserve"> </w:t>
      </w:r>
      <w:r w:rsidRPr="00F72BD4">
        <w:t xml:space="preserve">20, OSH Compliance has conducted 167 programmed planned Health Hazards SEP inspections, including 59 in FY 23.  This targeting program has also proven to be very successful as SWR violations have been identified on nearly 78% of inspections.  During FY 23, OSH Compliance averaged 2.44 SWR violations on each programmed planned Health Hazards SEP inspection.  </w:t>
      </w:r>
      <w:r>
        <w:t>13</w:t>
      </w:r>
      <w:r w:rsidRPr="00F72BD4">
        <w:t xml:space="preserve"> of the top 15 standards cited under this SEP in FY 23 were for silica in construction, respiratory protection, and hazard communication, which are all types of health hazards this program is targeting.</w:t>
      </w:r>
    </w:p>
    <w:p w14:paraId="2085A0AE" w14:textId="77777777" w:rsidR="00384419" w:rsidRPr="00471B8B" w:rsidRDefault="00384419">
      <w:pPr>
        <w:tabs>
          <w:tab w:val="left" w:pos="1890"/>
        </w:tabs>
        <w:ind w:left="2880"/>
      </w:pPr>
    </w:p>
    <w:p w14:paraId="417200FD" w14:textId="77777777" w:rsidR="00384419" w:rsidRPr="00471B8B" w:rsidRDefault="009D79D6">
      <w:pPr>
        <w:widowControl/>
        <w:tabs>
          <w:tab w:val="left" w:pos="1260"/>
          <w:tab w:val="left" w:pos="1350"/>
        </w:tabs>
        <w:autoSpaceDE/>
        <w:autoSpaceDN/>
        <w:adjustRightInd/>
        <w:ind w:firstLine="900"/>
        <w:contextualSpacing/>
      </w:pPr>
      <w:r w:rsidRPr="00471B8B">
        <w:t>d)  Citations and Penalties</w:t>
      </w:r>
    </w:p>
    <w:p w14:paraId="4D9CB237" w14:textId="77777777" w:rsidR="00384419" w:rsidRPr="00471B8B" w:rsidRDefault="00384419">
      <w:pPr>
        <w:widowControl/>
        <w:tabs>
          <w:tab w:val="left" w:pos="1260"/>
          <w:tab w:val="left" w:pos="1350"/>
        </w:tabs>
        <w:autoSpaceDE/>
        <w:autoSpaceDN/>
        <w:adjustRightInd/>
        <w:ind w:firstLine="900"/>
        <w:contextualSpacing/>
      </w:pPr>
    </w:p>
    <w:p w14:paraId="66FAD28E" w14:textId="687517E0" w:rsidR="00111DB9" w:rsidRDefault="009D79D6">
      <w:pPr>
        <w:ind w:left="1260"/>
        <w:jc w:val="both"/>
      </w:pPr>
      <w:r w:rsidRPr="00471B8B">
        <w:t xml:space="preserve">In </w:t>
      </w:r>
      <w:r w:rsidR="00C510E1" w:rsidRPr="00471B8B">
        <w:t>FY 2023</w:t>
      </w:r>
      <w:r w:rsidRPr="00471B8B">
        <w:t xml:space="preserve">, </w:t>
      </w:r>
      <w:r w:rsidR="00111DB9">
        <w:t>c</w:t>
      </w:r>
      <w:r w:rsidR="00111DB9" w:rsidRPr="00F72BD4">
        <w:rPr>
          <w:color w:val="000000" w:themeColor="text1"/>
        </w:rPr>
        <w:t xml:space="preserve">ompliance inspections conducted identified </w:t>
      </w:r>
      <w:r w:rsidR="00111DB9">
        <w:rPr>
          <w:color w:val="000000" w:themeColor="text1"/>
        </w:rPr>
        <w:t xml:space="preserve">1.94 </w:t>
      </w:r>
      <w:r w:rsidR="00111DB9" w:rsidRPr="00F72BD4">
        <w:rPr>
          <w:color w:val="000000" w:themeColor="text1"/>
        </w:rPr>
        <w:t>SWR violations</w:t>
      </w:r>
      <w:r w:rsidR="00111DB9">
        <w:rPr>
          <w:color w:val="000000" w:themeColor="text1"/>
        </w:rPr>
        <w:t xml:space="preserve"> per inspection</w:t>
      </w:r>
      <w:r w:rsidR="00111DB9" w:rsidRPr="00F72BD4">
        <w:rPr>
          <w:color w:val="000000" w:themeColor="text1"/>
        </w:rPr>
        <w:t xml:space="preserve">, </w:t>
      </w:r>
      <w:r w:rsidRPr="00471B8B">
        <w:t>and 0</w:t>
      </w:r>
      <w:r w:rsidR="00C915A9" w:rsidRPr="00471B8B">
        <w:t>.94</w:t>
      </w:r>
      <w:r w:rsidRPr="00471B8B">
        <w:t xml:space="preserve"> non-serious violations per inspection</w:t>
      </w:r>
      <w:r w:rsidR="00111DB9">
        <w:t xml:space="preserve"> </w:t>
      </w:r>
      <w:r w:rsidR="00111DB9" w:rsidRPr="00F72BD4">
        <w:rPr>
          <w:color w:val="000000" w:themeColor="text1"/>
        </w:rPr>
        <w:t>with a total initial penalty assessment of $10.4 million</w:t>
      </w:r>
      <w:r w:rsidRPr="00471B8B">
        <w:t xml:space="preserve">.  OSHNC exceeds the three-year national average and is </w:t>
      </w:r>
      <w:bookmarkStart w:id="9" w:name="_Hlk158040788"/>
      <w:r w:rsidRPr="00471B8B">
        <w:t xml:space="preserve">within range of the FRL for </w:t>
      </w:r>
      <w:bookmarkEnd w:id="9"/>
      <w:r w:rsidRPr="00471B8B">
        <w:t xml:space="preserve">SWRU, which is </w:t>
      </w:r>
      <w:r w:rsidR="00C915A9" w:rsidRPr="00471B8B">
        <w:t>1</w:t>
      </w:r>
      <w:r w:rsidRPr="00471B8B">
        <w:t>.4</w:t>
      </w:r>
      <w:r w:rsidR="00C915A9" w:rsidRPr="00471B8B">
        <w:t>0</w:t>
      </w:r>
      <w:r w:rsidRPr="00471B8B">
        <w:t xml:space="preserve"> to 2.1</w:t>
      </w:r>
      <w:r w:rsidR="00C915A9" w:rsidRPr="00471B8B">
        <w:t>0</w:t>
      </w:r>
      <w:r w:rsidRPr="00471B8B">
        <w:t xml:space="preserve"> (SAMM 5a), and is well within the FRL for non-serious, which is 0.7</w:t>
      </w:r>
      <w:r w:rsidR="00C915A9" w:rsidRPr="00471B8B">
        <w:t>1</w:t>
      </w:r>
      <w:r w:rsidRPr="00471B8B">
        <w:t xml:space="preserve"> to 1.0</w:t>
      </w:r>
      <w:r w:rsidR="00C915A9" w:rsidRPr="00471B8B">
        <w:t>7</w:t>
      </w:r>
      <w:r w:rsidRPr="00471B8B">
        <w:t xml:space="preserve">.  Serious violations are categorized as high, </w:t>
      </w:r>
      <w:proofErr w:type="gramStart"/>
      <w:r w:rsidRPr="00471B8B">
        <w:t>medium</w:t>
      </w:r>
      <w:proofErr w:type="gramEnd"/>
      <w:r w:rsidRPr="00471B8B">
        <w:t xml:space="preserve"> or low severity serious, for penalty calculation purposes.  In FY 2</w:t>
      </w:r>
      <w:r w:rsidR="00C915A9" w:rsidRPr="00471B8B">
        <w:t>3</w:t>
      </w:r>
      <w:r w:rsidRPr="00471B8B">
        <w:t>, OSHNC issued 2,</w:t>
      </w:r>
      <w:r w:rsidR="00C915A9" w:rsidRPr="00471B8B">
        <w:t>061</w:t>
      </w:r>
      <w:r w:rsidRPr="00471B8B">
        <w:t xml:space="preserve"> serious violations.  Additionally, </w:t>
      </w:r>
      <w:r w:rsidR="00420E75">
        <w:t>88</w:t>
      </w:r>
      <w:r w:rsidRPr="00471B8B">
        <w:t xml:space="preserve"> repeat violations and </w:t>
      </w:r>
      <w:r w:rsidR="00C915A9" w:rsidRPr="00471B8B">
        <w:t>11</w:t>
      </w:r>
      <w:r w:rsidRPr="00471B8B">
        <w:t xml:space="preserve"> willful violations were issued.  </w:t>
      </w:r>
      <w:r w:rsidR="00111DB9">
        <w:t xml:space="preserve"> </w:t>
      </w:r>
    </w:p>
    <w:p w14:paraId="1F5CF71C" w14:textId="77777777" w:rsidR="00111DB9" w:rsidRDefault="00111DB9" w:rsidP="00BC569D">
      <w:pPr>
        <w:jc w:val="both"/>
      </w:pPr>
    </w:p>
    <w:p w14:paraId="0F6DCCB0" w14:textId="5A7E6D71" w:rsidR="00384419" w:rsidRPr="00471B8B" w:rsidRDefault="009D79D6">
      <w:pPr>
        <w:ind w:left="1260"/>
        <w:jc w:val="both"/>
      </w:pPr>
      <w:r w:rsidRPr="00471B8B">
        <w:t>OSHNC conducted 1,</w:t>
      </w:r>
      <w:r w:rsidR="00C915A9" w:rsidRPr="00471B8B">
        <w:t>104</w:t>
      </w:r>
      <w:r w:rsidRPr="00471B8B">
        <w:t xml:space="preserve"> safety and </w:t>
      </w:r>
      <w:r w:rsidR="00C915A9" w:rsidRPr="00471B8B">
        <w:t>657</w:t>
      </w:r>
      <w:r w:rsidRPr="00471B8B">
        <w:t xml:space="preserve"> health</w:t>
      </w:r>
      <w:r w:rsidR="00122CDD">
        <w:t xml:space="preserve"> inspections</w:t>
      </w:r>
      <w:r w:rsidRPr="00471B8B">
        <w:t xml:space="preserve">, which was </w:t>
      </w:r>
      <w:r w:rsidR="00057A79">
        <w:t>97.6</w:t>
      </w:r>
      <w:r w:rsidRPr="00471B8B">
        <w:t>% of the planned inspection goal of 1,8</w:t>
      </w:r>
      <w:r w:rsidR="00C915A9" w:rsidRPr="00471B8B">
        <w:t>05</w:t>
      </w:r>
      <w:r w:rsidRPr="00471B8B">
        <w:t xml:space="preserve"> inspections, as compared to </w:t>
      </w:r>
      <w:r w:rsidR="00C915A9" w:rsidRPr="00471B8B">
        <w:t>1</w:t>
      </w:r>
      <w:r w:rsidRPr="00471B8B">
        <w:t>,</w:t>
      </w:r>
      <w:r w:rsidR="00C915A9" w:rsidRPr="00471B8B">
        <w:t>954</w:t>
      </w:r>
      <w:r w:rsidRPr="00471B8B">
        <w:t xml:space="preserve"> inspections conducted in FY </w:t>
      </w:r>
      <w:r w:rsidR="00EB0279">
        <w:t>22</w:t>
      </w:r>
      <w:r w:rsidRPr="00471B8B">
        <w:t>.  In FY 2</w:t>
      </w:r>
      <w:r w:rsidR="00C915A9" w:rsidRPr="00471B8B">
        <w:t>3</w:t>
      </w:r>
      <w:r w:rsidRPr="00471B8B">
        <w:t xml:space="preserve">, safety inspections </w:t>
      </w:r>
      <w:r w:rsidR="00C915A9" w:rsidRPr="00471B8B">
        <w:t>were within range of the FRL, which is 1,087.75 to 1,202.25.  However,</w:t>
      </w:r>
      <w:r w:rsidRPr="00471B8B">
        <w:t xml:space="preserve"> health inspections </w:t>
      </w:r>
      <w:r w:rsidR="00C915A9" w:rsidRPr="00471B8B">
        <w:t>did not me</w:t>
      </w:r>
      <w:r w:rsidR="00471B8B" w:rsidRPr="00471B8B">
        <w:t>et</w:t>
      </w:r>
      <w:r w:rsidR="00C915A9" w:rsidRPr="00471B8B">
        <w:t xml:space="preserve"> the FRL </w:t>
      </w:r>
      <w:r w:rsidR="00057A79">
        <w:t xml:space="preserve">range </w:t>
      </w:r>
      <w:r w:rsidR="00471B8B" w:rsidRPr="00471B8B">
        <w:t>of 717.25 to 792.75.</w:t>
      </w:r>
      <w:r w:rsidR="38B5A36E">
        <w:t xml:space="preserve">  </w:t>
      </w:r>
      <w:r w:rsidR="38B5A36E" w:rsidRPr="74CC9C3B">
        <w:t xml:space="preserve"> The goal was not attained </w:t>
      </w:r>
      <w:r w:rsidR="596330D5" w:rsidRPr="74CC9C3B">
        <w:t>due to t</w:t>
      </w:r>
      <w:r w:rsidR="38B5A36E" w:rsidRPr="74CC9C3B">
        <w:t xml:space="preserve">he ongoing difficulty recruiting and retaining qualified CSHOs.  </w:t>
      </w:r>
    </w:p>
    <w:p w14:paraId="02523436" w14:textId="77777777" w:rsidR="00384419" w:rsidRPr="00471B8B" w:rsidRDefault="00384419">
      <w:pPr>
        <w:widowControl/>
        <w:ind w:left="1260"/>
        <w:jc w:val="both"/>
      </w:pPr>
    </w:p>
    <w:p w14:paraId="26A9BEE8" w14:textId="77777777" w:rsidR="00384419" w:rsidRPr="00471B8B" w:rsidRDefault="009D79D6">
      <w:pPr>
        <w:widowControl/>
        <w:ind w:left="1260"/>
        <w:jc w:val="both"/>
      </w:pPr>
      <w:r w:rsidRPr="00471B8B">
        <w:t>OSHNC also maintained a lower average lapse time, from opening conference to citation issuance date, than the FRL (SAMM 11) as referenced below:</w:t>
      </w:r>
    </w:p>
    <w:p w14:paraId="590D821B" w14:textId="77777777" w:rsidR="00384419" w:rsidRPr="00471B8B" w:rsidRDefault="00384419">
      <w:pPr>
        <w:widowControl/>
        <w:jc w:val="both"/>
      </w:pPr>
    </w:p>
    <w:tbl>
      <w:tblPr>
        <w:tblpPr w:leftFromText="180" w:rightFromText="180" w:vertAnchor="text" w:horzAnchor="page" w:tblpX="2763" w:tblpY="89"/>
        <w:tblW w:w="0" w:type="auto"/>
        <w:tblLayout w:type="fixed"/>
        <w:tblCellMar>
          <w:left w:w="0" w:type="dxa"/>
          <w:right w:w="0" w:type="dxa"/>
        </w:tblCellMar>
        <w:tblLook w:val="04A0" w:firstRow="1" w:lastRow="0" w:firstColumn="1" w:lastColumn="0" w:noHBand="0" w:noVBand="1"/>
      </w:tblPr>
      <w:tblGrid>
        <w:gridCol w:w="2702"/>
        <w:gridCol w:w="2314"/>
        <w:gridCol w:w="2999"/>
      </w:tblGrid>
      <w:tr w:rsidR="00471B8B" w:rsidRPr="00471B8B" w14:paraId="002BC17A" w14:textId="77777777" w:rsidTr="74CC9C3B">
        <w:trPr>
          <w:trHeight w:hRule="exact" w:val="640"/>
        </w:trPr>
        <w:tc>
          <w:tcPr>
            <w:tcW w:w="2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451CA6" w14:textId="77777777" w:rsidR="00384419" w:rsidRPr="00471B8B" w:rsidRDefault="009D79D6">
            <w:pPr>
              <w:spacing w:before="32" w:line="251" w:lineRule="exact"/>
              <w:ind w:left="185" w:right="187" w:firstLine="5"/>
              <w:jc w:val="center"/>
              <w:textAlignment w:val="baseline"/>
              <w:rPr>
                <w:b/>
              </w:rPr>
            </w:pPr>
            <w:r w:rsidRPr="00471B8B">
              <w:rPr>
                <w:b/>
              </w:rPr>
              <w:t>Average Lapse Time</w:t>
            </w:r>
          </w:p>
        </w:tc>
        <w:tc>
          <w:tcPr>
            <w:tcW w:w="23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68FA26" w14:textId="77777777" w:rsidR="00384419" w:rsidRPr="00471B8B" w:rsidRDefault="009D79D6">
            <w:pPr>
              <w:spacing w:line="254" w:lineRule="exact"/>
              <w:ind w:left="173" w:right="161"/>
              <w:jc w:val="center"/>
              <w:textAlignment w:val="baseline"/>
              <w:rPr>
                <w:b/>
              </w:rPr>
            </w:pPr>
            <w:r w:rsidRPr="00471B8B">
              <w:rPr>
                <w:b/>
                <w:spacing w:val="5"/>
              </w:rPr>
              <w:t>OSHNC</w:t>
            </w:r>
          </w:p>
        </w:tc>
        <w:tc>
          <w:tcPr>
            <w:tcW w:w="29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5168BB" w14:textId="77777777" w:rsidR="00384419" w:rsidRPr="00471B8B" w:rsidRDefault="009D79D6">
            <w:pPr>
              <w:spacing w:line="259" w:lineRule="exact"/>
              <w:ind w:left="199" w:right="154"/>
              <w:jc w:val="center"/>
              <w:textAlignment w:val="baseline"/>
              <w:rPr>
                <w:b/>
              </w:rPr>
            </w:pPr>
            <w:r w:rsidRPr="00471B8B">
              <w:rPr>
                <w:b/>
              </w:rPr>
              <w:t>FRL</w:t>
            </w:r>
          </w:p>
        </w:tc>
      </w:tr>
      <w:tr w:rsidR="00471B8B" w:rsidRPr="00471B8B" w14:paraId="23E16828" w14:textId="77777777" w:rsidTr="74CC9C3B">
        <w:trPr>
          <w:trHeight w:hRule="exact" w:val="271"/>
        </w:trPr>
        <w:tc>
          <w:tcPr>
            <w:tcW w:w="2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AA1C3F" w14:textId="77777777" w:rsidR="00384419" w:rsidRPr="00471B8B" w:rsidRDefault="009D79D6">
            <w:pPr>
              <w:spacing w:line="248" w:lineRule="exact"/>
              <w:ind w:left="185" w:right="187" w:firstLine="5"/>
              <w:jc w:val="center"/>
              <w:textAlignment w:val="baseline"/>
            </w:pPr>
            <w:r w:rsidRPr="00471B8B">
              <w:t>Safety</w:t>
            </w:r>
          </w:p>
        </w:tc>
        <w:tc>
          <w:tcPr>
            <w:tcW w:w="23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0A55D5" w14:textId="48F43884" w:rsidR="00384419" w:rsidRPr="00471B8B" w:rsidRDefault="00471B8B">
            <w:pPr>
              <w:ind w:left="173" w:right="161"/>
              <w:jc w:val="center"/>
              <w:textAlignment w:val="baseline"/>
              <w:rPr>
                <w:b/>
              </w:rPr>
            </w:pPr>
            <w:r w:rsidRPr="00471B8B">
              <w:rPr>
                <w:b/>
              </w:rPr>
              <w:t>53.23</w:t>
            </w:r>
            <w:r w:rsidR="009D79D6" w:rsidRPr="00471B8B">
              <w:rPr>
                <w:b/>
              </w:rPr>
              <w:t xml:space="preserve"> days</w:t>
            </w:r>
          </w:p>
        </w:tc>
        <w:tc>
          <w:tcPr>
            <w:tcW w:w="29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8BB666" w14:textId="3D61F8B6" w:rsidR="00384419" w:rsidRPr="00471B8B" w:rsidRDefault="00471B8B">
            <w:pPr>
              <w:ind w:left="173" w:right="161"/>
              <w:jc w:val="center"/>
              <w:textAlignment w:val="baseline"/>
              <w:rPr>
                <w:b/>
              </w:rPr>
            </w:pPr>
            <w:r w:rsidRPr="00471B8B">
              <w:rPr>
                <w:b/>
              </w:rPr>
              <w:t>44.18</w:t>
            </w:r>
            <w:r w:rsidR="009D79D6" w:rsidRPr="00471B8B">
              <w:rPr>
                <w:b/>
              </w:rPr>
              <w:t xml:space="preserve"> – </w:t>
            </w:r>
            <w:r w:rsidRPr="00471B8B">
              <w:rPr>
                <w:b/>
              </w:rPr>
              <w:t>66.28</w:t>
            </w:r>
          </w:p>
        </w:tc>
      </w:tr>
      <w:tr w:rsidR="00471B8B" w:rsidRPr="00471B8B" w14:paraId="27FB9237" w14:textId="77777777" w:rsidTr="74CC9C3B">
        <w:trPr>
          <w:trHeight w:val="332"/>
        </w:trPr>
        <w:tc>
          <w:tcPr>
            <w:tcW w:w="2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659F2D" w14:textId="77777777" w:rsidR="00384419" w:rsidRPr="00471B8B" w:rsidRDefault="009D79D6">
            <w:pPr>
              <w:spacing w:line="263" w:lineRule="exact"/>
              <w:ind w:left="185" w:right="187" w:firstLine="5"/>
              <w:jc w:val="center"/>
              <w:textAlignment w:val="baseline"/>
            </w:pPr>
            <w:r w:rsidRPr="00471B8B">
              <w:t>Health</w:t>
            </w:r>
          </w:p>
        </w:tc>
        <w:tc>
          <w:tcPr>
            <w:tcW w:w="23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983040" w14:textId="13CC0A76" w:rsidR="00384419" w:rsidRPr="00471B8B" w:rsidRDefault="00471B8B">
            <w:pPr>
              <w:ind w:left="173" w:right="161"/>
              <w:jc w:val="center"/>
              <w:textAlignment w:val="baseline"/>
              <w:rPr>
                <w:b/>
              </w:rPr>
            </w:pPr>
            <w:r w:rsidRPr="00471B8B">
              <w:rPr>
                <w:b/>
              </w:rPr>
              <w:t>56.35</w:t>
            </w:r>
            <w:r w:rsidR="009D79D6" w:rsidRPr="00471B8B">
              <w:rPr>
                <w:b/>
              </w:rPr>
              <w:t xml:space="preserve"> days</w:t>
            </w:r>
          </w:p>
        </w:tc>
        <w:tc>
          <w:tcPr>
            <w:tcW w:w="29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7FFC36" w14:textId="5ACCBB1F" w:rsidR="00384419" w:rsidRPr="00471B8B" w:rsidRDefault="009D79D6">
            <w:pPr>
              <w:ind w:left="173" w:right="161"/>
              <w:jc w:val="center"/>
              <w:textAlignment w:val="baseline"/>
              <w:rPr>
                <w:b/>
              </w:rPr>
            </w:pPr>
            <w:r w:rsidRPr="00471B8B">
              <w:rPr>
                <w:b/>
              </w:rPr>
              <w:t>5</w:t>
            </w:r>
            <w:r w:rsidR="00471B8B" w:rsidRPr="00471B8B">
              <w:rPr>
                <w:b/>
              </w:rPr>
              <w:t>5</w:t>
            </w:r>
            <w:r w:rsidRPr="00471B8B">
              <w:rPr>
                <w:b/>
              </w:rPr>
              <w:t>.</w:t>
            </w:r>
            <w:r w:rsidR="00471B8B" w:rsidRPr="00471B8B">
              <w:rPr>
                <w:b/>
              </w:rPr>
              <w:t>7</w:t>
            </w:r>
            <w:r w:rsidRPr="00471B8B">
              <w:rPr>
                <w:b/>
              </w:rPr>
              <w:t xml:space="preserve">8 – </w:t>
            </w:r>
            <w:r w:rsidR="00471B8B" w:rsidRPr="00471B8B">
              <w:rPr>
                <w:b/>
              </w:rPr>
              <w:t>83.66</w:t>
            </w:r>
          </w:p>
        </w:tc>
      </w:tr>
    </w:tbl>
    <w:p w14:paraId="7924FF59" w14:textId="77777777" w:rsidR="00384419" w:rsidRPr="00471B8B" w:rsidRDefault="00384419">
      <w:pPr>
        <w:widowControl/>
      </w:pPr>
    </w:p>
    <w:p w14:paraId="0726E3DE" w14:textId="77777777" w:rsidR="00384419" w:rsidRPr="004C2D76" w:rsidRDefault="00384419">
      <w:pPr>
        <w:widowControl/>
        <w:ind w:left="1260"/>
        <w:jc w:val="both"/>
        <w:rPr>
          <w:color w:val="FF0000"/>
          <w:highlight w:val="yellow"/>
        </w:rPr>
      </w:pPr>
    </w:p>
    <w:p w14:paraId="384AA607" w14:textId="77777777" w:rsidR="00366B2D" w:rsidRDefault="00366B2D">
      <w:pPr>
        <w:widowControl/>
        <w:ind w:left="1260"/>
        <w:jc w:val="both"/>
      </w:pPr>
    </w:p>
    <w:p w14:paraId="290EBE6C" w14:textId="77777777" w:rsidR="00366B2D" w:rsidRDefault="00366B2D">
      <w:pPr>
        <w:widowControl/>
        <w:ind w:left="1260"/>
        <w:jc w:val="both"/>
      </w:pPr>
    </w:p>
    <w:p w14:paraId="20BD6C43" w14:textId="77777777" w:rsidR="00366B2D" w:rsidRDefault="00366B2D">
      <w:pPr>
        <w:widowControl/>
        <w:ind w:left="1260"/>
        <w:jc w:val="both"/>
      </w:pPr>
    </w:p>
    <w:p w14:paraId="785C45C5" w14:textId="77777777" w:rsidR="00366B2D" w:rsidRDefault="00366B2D">
      <w:pPr>
        <w:widowControl/>
        <w:ind w:left="1260"/>
        <w:jc w:val="both"/>
      </w:pPr>
    </w:p>
    <w:p w14:paraId="7A0068E7" w14:textId="22D0385B" w:rsidR="00384419" w:rsidRPr="00B46B53" w:rsidRDefault="009D79D6">
      <w:pPr>
        <w:widowControl/>
        <w:ind w:left="1260"/>
        <w:jc w:val="both"/>
      </w:pPr>
      <w:r w:rsidRPr="00B46B53">
        <w:t>The case files that were reviewed were well-documented, with very detailed narratives.  The total in-compliance rate (SAMM 9) for all safety inspections in FY 2</w:t>
      </w:r>
      <w:r w:rsidR="00471B8B" w:rsidRPr="00B46B53">
        <w:t>3</w:t>
      </w:r>
      <w:r w:rsidRPr="00B46B53">
        <w:t xml:space="preserve"> was 3</w:t>
      </w:r>
      <w:r w:rsidR="00471B8B" w:rsidRPr="00B46B53">
        <w:t>2.49</w:t>
      </w:r>
      <w:r w:rsidRPr="00B46B53">
        <w:t>% and 35.</w:t>
      </w:r>
      <w:r w:rsidR="00471B8B" w:rsidRPr="00B46B53">
        <w:t>78</w:t>
      </w:r>
      <w:r w:rsidRPr="00B46B53">
        <w:t>% for health inspections.  The percentage for safety and health was also well within the FRL.</w:t>
      </w:r>
    </w:p>
    <w:p w14:paraId="7CC55B07" w14:textId="77777777" w:rsidR="00384419" w:rsidRPr="004C2D76" w:rsidRDefault="00384419">
      <w:pPr>
        <w:widowControl/>
        <w:ind w:left="1260"/>
        <w:jc w:val="both"/>
        <w:rPr>
          <w:color w:val="FF0000"/>
        </w:rPr>
      </w:pPr>
    </w:p>
    <w:p w14:paraId="3A421826" w14:textId="27F9900D" w:rsidR="00384419" w:rsidRPr="00BC569D" w:rsidRDefault="009D79D6">
      <w:pPr>
        <w:widowControl/>
        <w:ind w:left="1260"/>
        <w:jc w:val="both"/>
      </w:pPr>
      <w:r w:rsidRPr="00BC569D">
        <w:t>OSHNC’s average current penalty per serious violation in the private sector (SAMM 8: 1 -250+ workers) was $</w:t>
      </w:r>
      <w:r w:rsidR="00B32E16" w:rsidRPr="00BC569D">
        <w:t>3</w:t>
      </w:r>
      <w:r w:rsidRPr="00BC569D">
        <w:t>,</w:t>
      </w:r>
      <w:r w:rsidR="00B32E16" w:rsidRPr="00BC569D">
        <w:t>7</w:t>
      </w:r>
      <w:r w:rsidRPr="00BC569D">
        <w:t>0</w:t>
      </w:r>
      <w:r w:rsidR="00B32E16" w:rsidRPr="00BC569D">
        <w:t>8</w:t>
      </w:r>
      <w:r w:rsidRPr="00BC569D">
        <w:t>.</w:t>
      </w:r>
      <w:r w:rsidR="00B32E16" w:rsidRPr="00BC569D">
        <w:t>5</w:t>
      </w:r>
      <w:r w:rsidRPr="00BC569D">
        <w:t>0 in FY 2</w:t>
      </w:r>
      <w:r w:rsidR="00B46B53" w:rsidRPr="00BC569D">
        <w:t>3</w:t>
      </w:r>
      <w:r w:rsidRPr="00BC569D">
        <w:t xml:space="preserve">.  The Further Review Level (FRL) is </w:t>
      </w:r>
      <w:r w:rsidRPr="00BC569D">
        <w:rPr>
          <w:rFonts w:ascii="Cambria Math" w:hAnsi="Cambria Math"/>
        </w:rPr>
        <w:t>±</w:t>
      </w:r>
      <w:r w:rsidRPr="00BC569D">
        <w:t>25% of the three-year national average ($</w:t>
      </w:r>
      <w:r w:rsidR="00B32E16" w:rsidRPr="00BC569D">
        <w:t>3,625.21</w:t>
      </w:r>
      <w:r w:rsidRPr="00BC569D">
        <w:t>).  The FRL ranges from $2,</w:t>
      </w:r>
      <w:r w:rsidR="00B32E16" w:rsidRPr="00BC569D">
        <w:t>718.91</w:t>
      </w:r>
      <w:r w:rsidRPr="00BC569D">
        <w:t xml:space="preserve"> to $</w:t>
      </w:r>
      <w:r w:rsidR="00B32E16" w:rsidRPr="00BC569D">
        <w:t>4,531.51</w:t>
      </w:r>
      <w:r w:rsidRPr="00BC569D">
        <w:t xml:space="preserve">.  </w:t>
      </w:r>
      <w:r w:rsidRPr="00BC569D">
        <w:lastRenderedPageBreak/>
        <w:t xml:space="preserve">Therefore, OSHNC’s current penalty per serious violation in the private sector (1-250+ workers) is </w:t>
      </w:r>
      <w:r w:rsidR="00B32E16" w:rsidRPr="00BC569D">
        <w:t>102.3</w:t>
      </w:r>
      <w:r w:rsidRPr="00BC569D">
        <w:t xml:space="preserve">% </w:t>
      </w:r>
      <w:r w:rsidR="00B32E16" w:rsidRPr="00BC569D">
        <w:t>over the national average penalty in this range</w:t>
      </w:r>
      <w:r w:rsidRPr="00BC569D">
        <w:rPr>
          <w:rStyle w:val="CommentReference"/>
          <w:rFonts w:ascii="Calibri" w:hAnsi="Calibri"/>
        </w:rPr>
        <w:t>.</w:t>
      </w:r>
      <w:r w:rsidRPr="00BC569D">
        <w:t xml:space="preserve">  </w:t>
      </w:r>
    </w:p>
    <w:p w14:paraId="14A54658" w14:textId="77777777" w:rsidR="00384419" w:rsidRPr="00BC569D" w:rsidRDefault="00384419">
      <w:pPr>
        <w:widowControl/>
        <w:ind w:left="1260"/>
        <w:jc w:val="both"/>
      </w:pPr>
    </w:p>
    <w:p w14:paraId="5A1F37EC" w14:textId="672CB8CF" w:rsidR="00111DB9" w:rsidRPr="00F72BD4" w:rsidRDefault="009D79D6" w:rsidP="00A84949">
      <w:pPr>
        <w:widowControl/>
        <w:adjustRightInd/>
        <w:ind w:left="1260"/>
        <w:jc w:val="both"/>
        <w:rPr>
          <w:color w:val="000000" w:themeColor="text1"/>
        </w:rPr>
      </w:pPr>
      <w:r w:rsidRPr="00BC569D">
        <w:t>OSHNC’s average current penalty for serious violations in the private sector (SAMM 8: greater than 250 workers) was $</w:t>
      </w:r>
      <w:r w:rsidR="00B32E16" w:rsidRPr="00BC569D">
        <w:t>9,663.12</w:t>
      </w:r>
      <w:r w:rsidRPr="00BC569D">
        <w:t xml:space="preserve"> in FY 2</w:t>
      </w:r>
      <w:r w:rsidR="00B32E16" w:rsidRPr="00BC569D">
        <w:t>3</w:t>
      </w:r>
      <w:r w:rsidRPr="00BC569D">
        <w:t xml:space="preserve">.  The Further Review Level (FRL) is </w:t>
      </w:r>
      <w:r w:rsidRPr="00BC569D">
        <w:rPr>
          <w:rFonts w:ascii="Cambria Math" w:hAnsi="Cambria Math"/>
        </w:rPr>
        <w:t>±</w:t>
      </w:r>
      <w:r w:rsidRPr="00BC569D">
        <w:t>25% of the three-year national average ($</w:t>
      </w:r>
      <w:r w:rsidR="00B32E16" w:rsidRPr="00BC569D">
        <w:t>7</w:t>
      </w:r>
      <w:r w:rsidRPr="00BC569D">
        <w:t>,</w:t>
      </w:r>
      <w:r w:rsidR="00B32E16" w:rsidRPr="00BC569D">
        <w:t>331.41</w:t>
      </w:r>
      <w:r w:rsidRPr="00BC569D">
        <w:t>).  The FRL ranges from $</w:t>
      </w:r>
      <w:r w:rsidR="00B32E16" w:rsidRPr="00BC569D">
        <w:t>5,498.56</w:t>
      </w:r>
      <w:r w:rsidRPr="00BC569D">
        <w:t xml:space="preserve"> to $</w:t>
      </w:r>
      <w:r w:rsidR="00B32E16" w:rsidRPr="00BC569D">
        <w:t>9,164.26</w:t>
      </w:r>
      <w:r w:rsidRPr="00BC569D">
        <w:t xml:space="preserve">.  OSHNC’s current penalty per serious violation in the private sector (greater than 250+ workers) </w:t>
      </w:r>
      <w:r w:rsidR="00B32E16" w:rsidRPr="00BC569D">
        <w:t xml:space="preserve">well </w:t>
      </w:r>
      <w:r w:rsidRPr="00BC569D">
        <w:t>exceeds the acceptable FRL</w:t>
      </w:r>
      <w:r w:rsidRPr="00BC569D">
        <w:rPr>
          <w:rStyle w:val="CommentReference"/>
          <w:rFonts w:ascii="Calibri" w:hAnsi="Calibri"/>
        </w:rPr>
        <w:t>.</w:t>
      </w:r>
      <w:r w:rsidR="00111DB9" w:rsidRPr="00BC569D">
        <w:rPr>
          <w:rStyle w:val="CommentReference"/>
          <w:rFonts w:ascii="Calibri" w:hAnsi="Calibri"/>
        </w:rPr>
        <w:t xml:space="preserve"> </w:t>
      </w:r>
    </w:p>
    <w:p w14:paraId="41895E7D" w14:textId="77777777" w:rsidR="00384419" w:rsidRPr="00D3236B" w:rsidRDefault="00384419">
      <w:pPr>
        <w:widowControl/>
        <w:ind w:left="1260"/>
        <w:jc w:val="both"/>
      </w:pPr>
    </w:p>
    <w:p w14:paraId="4DFABD1F" w14:textId="77777777" w:rsidR="00384419" w:rsidRPr="00D3236B" w:rsidRDefault="009D79D6">
      <w:pPr>
        <w:widowControl/>
        <w:ind w:left="720"/>
        <w:jc w:val="both"/>
      </w:pPr>
      <w:r w:rsidRPr="00D3236B">
        <w:t>e) Abatement</w:t>
      </w:r>
    </w:p>
    <w:p w14:paraId="273634B1" w14:textId="77777777" w:rsidR="00384419" w:rsidRPr="00D3236B" w:rsidRDefault="00384419">
      <w:pPr>
        <w:tabs>
          <w:tab w:val="left" w:pos="1170"/>
          <w:tab w:val="left" w:pos="1350"/>
        </w:tabs>
        <w:ind w:left="1170"/>
        <w:jc w:val="both"/>
      </w:pPr>
    </w:p>
    <w:p w14:paraId="65902963" w14:textId="77777777" w:rsidR="00384419" w:rsidRPr="00D3236B" w:rsidRDefault="009D79D6">
      <w:pPr>
        <w:tabs>
          <w:tab w:val="left" w:pos="1170"/>
          <w:tab w:val="left" w:pos="1350"/>
        </w:tabs>
        <w:ind w:left="1170"/>
        <w:jc w:val="both"/>
      </w:pPr>
      <w:r w:rsidRPr="00D3236B">
        <w:t xml:space="preserve">Available procedures and inspection data indicate that North Carolina obtains adequate and timely abatement information in most case files and has processes in place to track employers, who are late in providing abatement information.  The Bureau Chiefs run a weekly past due abatement report that is shared with supervisors and is sorted by CSHO’s.  Confirmation of abatement is also a measure in the work plan for each CSHO.  </w:t>
      </w:r>
    </w:p>
    <w:p w14:paraId="6690B8EB" w14:textId="77777777" w:rsidR="00384419" w:rsidRPr="004C2D76" w:rsidRDefault="00384419">
      <w:pPr>
        <w:tabs>
          <w:tab w:val="left" w:pos="1170"/>
          <w:tab w:val="left" w:pos="1350"/>
        </w:tabs>
        <w:ind w:left="1170"/>
        <w:jc w:val="both"/>
        <w:rPr>
          <w:color w:val="FF0000"/>
        </w:rPr>
      </w:pPr>
    </w:p>
    <w:p w14:paraId="5912F62C" w14:textId="11838146" w:rsidR="00384419" w:rsidRPr="005E711D" w:rsidRDefault="009D79D6">
      <w:pPr>
        <w:tabs>
          <w:tab w:val="left" w:pos="1170"/>
          <w:tab w:val="left" w:pos="1350"/>
        </w:tabs>
        <w:ind w:left="1170"/>
        <w:jc w:val="both"/>
      </w:pPr>
      <w:r w:rsidRPr="005E711D">
        <w:t>Follow-up inspections accounted for 3% of the total inspections in North Carolina for FY 2</w:t>
      </w:r>
      <w:r w:rsidR="005E711D" w:rsidRPr="005E711D">
        <w:t>3</w:t>
      </w:r>
      <w:r w:rsidRPr="005E711D">
        <w:t xml:space="preserve">.  Follow-up inspections are useful to ensure </w:t>
      </w:r>
      <w:r w:rsidR="0059583E" w:rsidRPr="005E711D">
        <w:t>abatement if</w:t>
      </w:r>
      <w:r w:rsidRPr="005E711D">
        <w:t xml:space="preserve"> there is a problem with abatement verification.  According to the SIR for FY 2</w:t>
      </w:r>
      <w:r w:rsidR="005E711D">
        <w:t>3</w:t>
      </w:r>
      <w:r w:rsidRPr="005E711D">
        <w:t xml:space="preserve">, the number of private sector inspections that have unabated violations that are greater than 60 calendar days for safety, and 90 calendar days for health, past the issuance date, was </w:t>
      </w:r>
      <w:r w:rsidR="005E711D">
        <w:t>17</w:t>
      </w:r>
      <w:r w:rsidRPr="005E711D">
        <w:t xml:space="preserve"> for safety and </w:t>
      </w:r>
      <w:r w:rsidR="005E711D">
        <w:t>14</w:t>
      </w:r>
      <w:r w:rsidRPr="005E711D">
        <w:t xml:space="preserve"> for health, respectively.  In addition, there were two </w:t>
      </w:r>
      <w:r w:rsidR="005E711D">
        <w:t>valid complaints</w:t>
      </w:r>
      <w:r w:rsidRPr="005E711D">
        <w:t xml:space="preserve"> handled as inspections, which have been open more than 60 days, and there were </w:t>
      </w:r>
      <w:r w:rsidR="005E711D">
        <w:t>149</w:t>
      </w:r>
      <w:r w:rsidRPr="005E711D">
        <w:t xml:space="preserve"> valid complaints handled as an investigation (phone/fax), which were open more than 30 days. OSHNC should ensure that the number of complaint investigations open remains low, so that hazards are quickly eliminated.     </w:t>
      </w:r>
    </w:p>
    <w:p w14:paraId="477AD7EA" w14:textId="77777777" w:rsidR="00384419" w:rsidRPr="004C2D76" w:rsidRDefault="00384419">
      <w:pPr>
        <w:tabs>
          <w:tab w:val="left" w:pos="1170"/>
          <w:tab w:val="left" w:pos="1350"/>
        </w:tabs>
        <w:ind w:left="1170"/>
        <w:jc w:val="both"/>
        <w:rPr>
          <w:color w:val="FF0000"/>
        </w:rPr>
      </w:pPr>
    </w:p>
    <w:p w14:paraId="71A3C1C3" w14:textId="77777777" w:rsidR="007827D9" w:rsidRDefault="009D79D6" w:rsidP="007827D9">
      <w:pPr>
        <w:tabs>
          <w:tab w:val="left" w:pos="1170"/>
          <w:tab w:val="left" w:pos="1350"/>
        </w:tabs>
        <w:ind w:left="1170"/>
        <w:jc w:val="both"/>
      </w:pPr>
      <w:r w:rsidRPr="00D3236B">
        <w:t xml:space="preserve">Most case files reviewed contained written documentation, photos, work orders, or employer’s certification of abatement.  Petitions for Modification of Abatement (PMA) were appropriately provided when the employer requested an extension for their corrective action timeframe and interim protection information was provided in the case file. </w:t>
      </w:r>
    </w:p>
    <w:p w14:paraId="6856A423" w14:textId="77777777" w:rsidR="007827D9" w:rsidRDefault="007827D9" w:rsidP="007827D9">
      <w:pPr>
        <w:tabs>
          <w:tab w:val="left" w:pos="1170"/>
          <w:tab w:val="left" w:pos="1350"/>
        </w:tabs>
        <w:jc w:val="both"/>
      </w:pPr>
    </w:p>
    <w:p w14:paraId="237307B9" w14:textId="77777777" w:rsidR="007827D9" w:rsidRDefault="007827D9" w:rsidP="007827D9">
      <w:pPr>
        <w:tabs>
          <w:tab w:val="left" w:pos="1170"/>
          <w:tab w:val="left" w:pos="1350"/>
        </w:tabs>
        <w:ind w:left="720"/>
        <w:jc w:val="both"/>
      </w:pPr>
      <w:r>
        <w:t xml:space="preserve">f) </w:t>
      </w:r>
      <w:r w:rsidR="009D79D6" w:rsidRPr="00122DB9">
        <w:t xml:space="preserve">Worker and Union Involvement </w:t>
      </w:r>
    </w:p>
    <w:p w14:paraId="7422FD31" w14:textId="77777777" w:rsidR="007827D9" w:rsidRDefault="007827D9" w:rsidP="007827D9">
      <w:pPr>
        <w:tabs>
          <w:tab w:val="left" w:pos="1170"/>
          <w:tab w:val="left" w:pos="1350"/>
        </w:tabs>
        <w:ind w:left="720"/>
        <w:jc w:val="both"/>
      </w:pPr>
    </w:p>
    <w:p w14:paraId="16D6AD3E" w14:textId="77777777" w:rsidR="007827D9" w:rsidRDefault="009D79D6" w:rsidP="007827D9">
      <w:pPr>
        <w:tabs>
          <w:tab w:val="left" w:pos="1170"/>
          <w:tab w:val="left" w:pos="1350"/>
        </w:tabs>
        <w:ind w:left="1170"/>
        <w:jc w:val="both"/>
      </w:pPr>
      <w:r w:rsidRPr="007827D9">
        <w:t>OSHNC’s procedures for employee and union involvement are identical to OSHA’s.  Case file review disclosed that employees were included in 100% of fatality investigations, and other inspections.  This determination was supported by SAMM</w:t>
      </w:r>
      <w:r w:rsidR="003145BE" w:rsidRPr="007827D9">
        <w:t xml:space="preserve"> </w:t>
      </w:r>
      <w:r w:rsidRPr="007827D9">
        <w:t>13.</w:t>
      </w:r>
    </w:p>
    <w:p w14:paraId="38C2219B" w14:textId="77777777" w:rsidR="007827D9" w:rsidRDefault="007827D9" w:rsidP="007827D9">
      <w:pPr>
        <w:tabs>
          <w:tab w:val="left" w:pos="1170"/>
          <w:tab w:val="left" w:pos="1350"/>
        </w:tabs>
        <w:ind w:left="1170"/>
        <w:jc w:val="both"/>
      </w:pPr>
    </w:p>
    <w:p w14:paraId="16241439" w14:textId="7C951BF1" w:rsidR="00360B73" w:rsidRPr="0059583E" w:rsidRDefault="00360B73" w:rsidP="0059583E">
      <w:pPr>
        <w:tabs>
          <w:tab w:val="left" w:pos="1170"/>
          <w:tab w:val="left" w:pos="1350"/>
        </w:tabs>
        <w:ind w:left="1170"/>
        <w:jc w:val="both"/>
      </w:pPr>
      <w:bookmarkStart w:id="10" w:name="_Hlk157520990"/>
      <w:r w:rsidRPr="007827D9">
        <w:rPr>
          <w:rFonts w:eastAsia="Calibri"/>
        </w:rPr>
        <w:t>During FY</w:t>
      </w:r>
      <w:r w:rsidR="007827D9">
        <w:rPr>
          <w:rFonts w:eastAsia="Calibri"/>
        </w:rPr>
        <w:t xml:space="preserve"> 23</w:t>
      </w:r>
      <w:r w:rsidRPr="007827D9">
        <w:rPr>
          <w:rFonts w:eastAsia="Calibri"/>
        </w:rPr>
        <w:t xml:space="preserve">, the OSH Division began receiving external requests for Statements of Interest (SOI) in support of deferred immigration action relative to workers involved in open Compliance inspections. The Division continues to work on a formal policy for receipt and processing of SOI requests and submitted its first letter to the Department of Homeland Security in October 2023. </w:t>
      </w:r>
      <w:bookmarkEnd w:id="10"/>
    </w:p>
    <w:p w14:paraId="790CD487" w14:textId="77777777" w:rsidR="00384419" w:rsidRPr="004C2D76" w:rsidRDefault="00384419">
      <w:pPr>
        <w:rPr>
          <w:color w:val="FF0000"/>
        </w:rPr>
      </w:pPr>
    </w:p>
    <w:p w14:paraId="7C424A68" w14:textId="77777777" w:rsidR="00384419" w:rsidRPr="00D3236B" w:rsidRDefault="009D79D6">
      <w:pPr>
        <w:tabs>
          <w:tab w:val="left" w:pos="1530"/>
          <w:tab w:val="left" w:pos="1800"/>
        </w:tabs>
        <w:ind w:left="1080" w:hanging="720"/>
        <w:rPr>
          <w:b/>
          <w:smallCaps/>
        </w:rPr>
      </w:pPr>
      <w:r w:rsidRPr="00D3236B">
        <w:rPr>
          <w:b/>
          <w:smallCaps/>
        </w:rPr>
        <w:t>3.    REVIEW PROCEDURES</w:t>
      </w:r>
    </w:p>
    <w:p w14:paraId="162D724B" w14:textId="77777777" w:rsidR="00384419" w:rsidRPr="00D3236B" w:rsidRDefault="00384419">
      <w:pPr>
        <w:tabs>
          <w:tab w:val="left" w:pos="1530"/>
          <w:tab w:val="left" w:pos="1800"/>
        </w:tabs>
        <w:ind w:left="1080" w:hanging="720"/>
        <w:rPr>
          <w:b/>
          <w:smallCaps/>
        </w:rPr>
      </w:pPr>
    </w:p>
    <w:p w14:paraId="68865A1F" w14:textId="77777777" w:rsidR="00384419" w:rsidRPr="00D3236B" w:rsidRDefault="009D79D6" w:rsidP="00705ED8">
      <w:pPr>
        <w:pStyle w:val="ListParagraph"/>
        <w:numPr>
          <w:ilvl w:val="0"/>
          <w:numId w:val="4"/>
        </w:numPr>
        <w:tabs>
          <w:tab w:val="left" w:pos="1170"/>
        </w:tabs>
        <w:ind w:left="1440" w:hanging="630"/>
      </w:pPr>
      <w:r w:rsidRPr="00D3236B">
        <w:rPr>
          <w:rFonts w:ascii="Times New Roman" w:hAnsi="Times New Roman" w:cs="Times New Roman"/>
          <w:sz w:val="24"/>
          <w:szCs w:val="24"/>
        </w:rPr>
        <w:t>Informal Conferences</w:t>
      </w:r>
    </w:p>
    <w:p w14:paraId="053C3DEB" w14:textId="4171F5E0" w:rsidR="00384419" w:rsidRPr="00D3236B" w:rsidRDefault="009D79D6">
      <w:pPr>
        <w:tabs>
          <w:tab w:val="left" w:pos="1170"/>
        </w:tabs>
        <w:ind w:left="1170"/>
        <w:jc w:val="both"/>
      </w:pPr>
      <w:r w:rsidRPr="00D3236B">
        <w:t xml:space="preserve">OSHNC has procedures in place for conducting informal conferences and proposing informal </w:t>
      </w:r>
      <w:r w:rsidRPr="00D3236B">
        <w:lastRenderedPageBreak/>
        <w:t>settlement agreements.</w:t>
      </w:r>
      <w:r w:rsidR="003145BE" w:rsidRPr="00D3236B">
        <w:t xml:space="preserve">  </w:t>
      </w:r>
      <w:r w:rsidRPr="00D3236B">
        <w:t xml:space="preserve">These procedures appear to be followed consistently by District Supervisors.  According to the SIR, </w:t>
      </w:r>
      <w:r w:rsidR="00D3236B">
        <w:t>2.06</w:t>
      </w:r>
      <w:r w:rsidRPr="00D3236B">
        <w:t>% of violations were vacated (pre-contest), and 1.</w:t>
      </w:r>
      <w:r w:rsidR="00D3236B">
        <w:t>53</w:t>
      </w:r>
      <w:r w:rsidRPr="00D3236B">
        <w:t xml:space="preserve">% of violations were reclassified (pre-contest) as a result of informal settlement agreements.  The percent of penalty retained was </w:t>
      </w:r>
      <w:r w:rsidR="00D3236B">
        <w:t>86.99</w:t>
      </w:r>
      <w:r w:rsidRPr="00D3236B">
        <w:t xml:space="preserve">%, which exceeds the national average of </w:t>
      </w:r>
      <w:r w:rsidR="00D3236B">
        <w:t>75.19</w:t>
      </w:r>
      <w:r w:rsidRPr="00D3236B">
        <w:t xml:space="preserve">%.  Case files reviewed had similar results, with very few violations noted as being vacated or reclassified, and most cases were resolved with some penalty reduction.  Where there were vacated or reclassified violations, or a larger penalty reduction, the files normally included the rationale for the changes.  No negative trends or problems with citation documentation have been noted.  </w:t>
      </w:r>
    </w:p>
    <w:p w14:paraId="73200E00" w14:textId="77777777" w:rsidR="00384419" w:rsidRPr="00D3236B" w:rsidRDefault="00384419">
      <w:pPr>
        <w:widowControl/>
        <w:tabs>
          <w:tab w:val="left" w:pos="1890"/>
        </w:tabs>
        <w:autoSpaceDE/>
        <w:autoSpaceDN/>
        <w:adjustRightInd/>
        <w:contextualSpacing/>
      </w:pPr>
    </w:p>
    <w:p w14:paraId="2FC60798" w14:textId="77777777" w:rsidR="00384419" w:rsidRPr="00D4447C" w:rsidRDefault="009D79D6" w:rsidP="00705ED8">
      <w:pPr>
        <w:pStyle w:val="ListParagraph"/>
        <w:numPr>
          <w:ilvl w:val="0"/>
          <w:numId w:val="4"/>
        </w:numPr>
        <w:tabs>
          <w:tab w:val="left" w:pos="1170"/>
        </w:tabs>
        <w:spacing w:after="0"/>
        <w:ind w:left="1170"/>
      </w:pPr>
      <w:r w:rsidRPr="00D4447C">
        <w:rPr>
          <w:rFonts w:ascii="Times New Roman" w:hAnsi="Times New Roman" w:cs="Times New Roman"/>
          <w:sz w:val="24"/>
          <w:szCs w:val="24"/>
        </w:rPr>
        <w:t>Formal Review of Citations</w:t>
      </w:r>
    </w:p>
    <w:p w14:paraId="5B1E13C8" w14:textId="77777777" w:rsidR="00384419" w:rsidRPr="00D4447C" w:rsidRDefault="00384419">
      <w:pPr>
        <w:pStyle w:val="ListParagraph"/>
        <w:tabs>
          <w:tab w:val="left" w:pos="1170"/>
        </w:tabs>
        <w:spacing w:after="0"/>
        <w:ind w:left="1170"/>
      </w:pPr>
    </w:p>
    <w:p w14:paraId="2BE9B706" w14:textId="7B4A06EF" w:rsidR="00384419" w:rsidRPr="00D4447C" w:rsidRDefault="009D79D6">
      <w:pPr>
        <w:pStyle w:val="NoSpacing"/>
        <w:ind w:left="1170"/>
        <w:jc w:val="both"/>
        <w:rPr>
          <w:rFonts w:ascii="Times New Roman" w:hAnsi="Times New Roman"/>
          <w:sz w:val="24"/>
          <w:szCs w:val="24"/>
        </w:rPr>
      </w:pPr>
      <w:bookmarkStart w:id="11" w:name="_Hlk155165531"/>
      <w:r w:rsidRPr="00D4447C">
        <w:rPr>
          <w:rFonts w:ascii="Times New Roman" w:hAnsi="Times New Roman"/>
          <w:sz w:val="24"/>
          <w:szCs w:val="24"/>
        </w:rPr>
        <w:t>In FY 2</w:t>
      </w:r>
      <w:r w:rsidR="00E86774" w:rsidRPr="00D4447C">
        <w:rPr>
          <w:rFonts w:ascii="Times New Roman" w:hAnsi="Times New Roman"/>
          <w:sz w:val="24"/>
          <w:szCs w:val="24"/>
        </w:rPr>
        <w:t>3</w:t>
      </w:r>
      <w:r w:rsidRPr="00D4447C">
        <w:rPr>
          <w:rFonts w:ascii="Times New Roman" w:hAnsi="Times New Roman"/>
          <w:sz w:val="24"/>
          <w:szCs w:val="24"/>
        </w:rPr>
        <w:t xml:space="preserve">, </w:t>
      </w:r>
      <w:r w:rsidR="00D4447C" w:rsidRPr="00D4447C">
        <w:rPr>
          <w:rFonts w:ascii="Times New Roman" w:hAnsi="Times New Roman"/>
          <w:sz w:val="24"/>
          <w:szCs w:val="24"/>
        </w:rPr>
        <w:t>3.7</w:t>
      </w:r>
      <w:r w:rsidRPr="00D4447C">
        <w:rPr>
          <w:rFonts w:ascii="Times New Roman" w:hAnsi="Times New Roman"/>
          <w:sz w:val="24"/>
          <w:szCs w:val="24"/>
        </w:rPr>
        <w:t xml:space="preserve">% of inspections with citations were formally contested by employers.  </w:t>
      </w:r>
      <w:bookmarkEnd w:id="11"/>
      <w:r w:rsidRPr="00D4447C">
        <w:rPr>
          <w:rFonts w:ascii="Times New Roman" w:hAnsi="Times New Roman"/>
          <w:sz w:val="24"/>
          <w:szCs w:val="24"/>
        </w:rPr>
        <w:t>The North Carolina OSH Division is represented by attorneys in the North Carolina Attorney General’s Office (AG).  The attorneys are assigned exclusively to represent the Division, and they receive specific training on legal issues relating to occupational safety and health.</w:t>
      </w:r>
    </w:p>
    <w:p w14:paraId="401F3314" w14:textId="77777777" w:rsidR="00384419" w:rsidRPr="00D4447C" w:rsidRDefault="009D79D6">
      <w:pPr>
        <w:pStyle w:val="NoSpacing"/>
        <w:ind w:left="1170"/>
        <w:jc w:val="both"/>
        <w:rPr>
          <w:rFonts w:ascii="Times New Roman" w:hAnsi="Times New Roman"/>
          <w:sz w:val="24"/>
          <w:szCs w:val="24"/>
        </w:rPr>
      </w:pPr>
      <w:r w:rsidRPr="00D4447C">
        <w:rPr>
          <w:rFonts w:ascii="Times New Roman" w:hAnsi="Times New Roman"/>
          <w:sz w:val="24"/>
          <w:szCs w:val="24"/>
        </w:rPr>
        <w:t xml:space="preserve">  </w:t>
      </w:r>
    </w:p>
    <w:p w14:paraId="07F74E33" w14:textId="77777777" w:rsidR="00384419" w:rsidRPr="00D4447C" w:rsidRDefault="009D79D6">
      <w:pPr>
        <w:pStyle w:val="NoSpacing"/>
        <w:ind w:left="1170"/>
        <w:jc w:val="both"/>
        <w:rPr>
          <w:rFonts w:ascii="Times New Roman" w:hAnsi="Times New Roman"/>
          <w:sz w:val="24"/>
          <w:szCs w:val="24"/>
        </w:rPr>
      </w:pPr>
      <w:r w:rsidRPr="00D4447C">
        <w:rPr>
          <w:rFonts w:ascii="Times New Roman" w:hAnsi="Times New Roman"/>
          <w:sz w:val="24"/>
          <w:szCs w:val="24"/>
        </w:rPr>
        <w:t xml:space="preserve">The Attorneys participate in organizations, such as the State OSHA Litigators Organization (SOLO), where State and Federal high-profile cases, and cases with special legal issues, are shared and discussed.  The Division also utilizes the Department of Labor’s in-house attorneys, who advise on various legal issues.  All fatalities and high-profile cases are considered by a citation review committee before citations are issued.  This committee is made up of OSH management, staff attorneys, and attorneys in the AG’s Office.  </w:t>
      </w:r>
    </w:p>
    <w:p w14:paraId="357FBC64" w14:textId="77777777" w:rsidR="00384419" w:rsidRPr="00D4447C" w:rsidRDefault="00384419">
      <w:pPr>
        <w:pStyle w:val="NoSpacing"/>
        <w:ind w:left="1170"/>
        <w:jc w:val="both"/>
        <w:rPr>
          <w:rFonts w:ascii="Times New Roman" w:hAnsi="Times New Roman"/>
          <w:sz w:val="24"/>
          <w:szCs w:val="24"/>
        </w:rPr>
      </w:pPr>
    </w:p>
    <w:p w14:paraId="006B1535" w14:textId="77777777" w:rsidR="00384419" w:rsidRPr="00D4447C" w:rsidRDefault="009D79D6">
      <w:pPr>
        <w:pStyle w:val="NoSpacing"/>
        <w:ind w:left="1170"/>
        <w:jc w:val="both"/>
        <w:rPr>
          <w:rFonts w:ascii="Times New Roman" w:hAnsi="Times New Roman"/>
          <w:sz w:val="24"/>
          <w:szCs w:val="24"/>
        </w:rPr>
      </w:pPr>
      <w:r w:rsidRPr="00D4447C">
        <w:rPr>
          <w:rFonts w:ascii="Times New Roman" w:hAnsi="Times New Roman"/>
          <w:sz w:val="24"/>
          <w:szCs w:val="24"/>
        </w:rPr>
        <w:t xml:space="preserve">The North Carolina Review Commission is an independent body that hears and issues decisions on appeals, relating to the issuance of citations and assessment of penalties by the OSH Division.  Commission members are appointed by the Governor for terms that usually run for six years.  All commission hearings are open to the public and decisions are available for public review on the Commission’s web page.  </w:t>
      </w:r>
    </w:p>
    <w:p w14:paraId="271953AB" w14:textId="77777777" w:rsidR="00384419" w:rsidRPr="00D4447C" w:rsidRDefault="00384419">
      <w:pPr>
        <w:pStyle w:val="NoSpacing"/>
        <w:ind w:left="1170"/>
        <w:jc w:val="both"/>
        <w:rPr>
          <w:rFonts w:ascii="Times New Roman" w:hAnsi="Times New Roman"/>
          <w:sz w:val="24"/>
          <w:szCs w:val="24"/>
        </w:rPr>
      </w:pPr>
    </w:p>
    <w:p w14:paraId="11AB908E" w14:textId="77777777" w:rsidR="00384419" w:rsidRPr="00D4447C" w:rsidRDefault="009D79D6">
      <w:pPr>
        <w:pStyle w:val="NoSpacing"/>
        <w:ind w:left="1170"/>
        <w:jc w:val="both"/>
        <w:rPr>
          <w:rFonts w:ascii="Times New Roman" w:hAnsi="Times New Roman"/>
          <w:sz w:val="24"/>
          <w:szCs w:val="24"/>
        </w:rPr>
      </w:pPr>
      <w:r w:rsidRPr="00D4447C">
        <w:rPr>
          <w:rFonts w:ascii="Times New Roman" w:hAnsi="Times New Roman"/>
          <w:sz w:val="24"/>
          <w:szCs w:val="24"/>
        </w:rPr>
        <w:t xml:space="preserve">The OSH Division can request judicial review of decisions made by the Review Commission.  The Division is advised on these matters by the Attorney General’s Office with input from the Commissioner of Labor’s Office.    </w:t>
      </w:r>
    </w:p>
    <w:p w14:paraId="7DD556DC" w14:textId="77777777" w:rsidR="00384419" w:rsidRDefault="00384419">
      <w:pPr>
        <w:ind w:left="1170"/>
        <w:rPr>
          <w:b/>
          <w:smallCaps/>
        </w:rPr>
      </w:pPr>
    </w:p>
    <w:p w14:paraId="7C72321D" w14:textId="77777777" w:rsidR="00384419" w:rsidRDefault="009D79D6">
      <w:pPr>
        <w:ind w:left="810" w:hanging="450"/>
        <w:rPr>
          <w:b/>
          <w:caps/>
        </w:rPr>
      </w:pPr>
      <w:r>
        <w:rPr>
          <w:b/>
          <w:smallCaps/>
        </w:rPr>
        <w:t xml:space="preserve">4.    </w:t>
      </w:r>
      <w:r>
        <w:rPr>
          <w:b/>
          <w:caps/>
        </w:rPr>
        <w:t>Standards and Federal Program Change (</w:t>
      </w:r>
      <w:r>
        <w:rPr>
          <w:b/>
        </w:rPr>
        <w:t>FPC</w:t>
      </w:r>
      <w:r>
        <w:rPr>
          <w:b/>
          <w:caps/>
        </w:rPr>
        <w:t>) Adoption</w:t>
      </w:r>
    </w:p>
    <w:p w14:paraId="43F97241" w14:textId="77777777" w:rsidR="00384419" w:rsidRDefault="00384419">
      <w:pPr>
        <w:ind w:left="810" w:hanging="450"/>
        <w:rPr>
          <w:b/>
          <w:caps/>
        </w:rPr>
      </w:pPr>
    </w:p>
    <w:p w14:paraId="6DDD5069" w14:textId="2BC3A115" w:rsidR="00384419" w:rsidRPr="00860F33" w:rsidRDefault="009D79D6" w:rsidP="00FC08A2">
      <w:pPr>
        <w:spacing w:after="240"/>
        <w:ind w:left="720"/>
        <w:jc w:val="both"/>
        <w:rPr>
          <w:rFonts w:asciiTheme="minorHAnsi" w:hAnsiTheme="minorHAnsi" w:cstheme="minorBidi"/>
          <w:b/>
        </w:rPr>
      </w:pPr>
      <w:r>
        <w:t>In accordance with 29 CFR 1902, State Plans are required to adopt standards and Federal program changes, within a 6-month time frame. State Plans that do not adopt identical standards and procedures must establish guidelines which are at least as effective ALAE as the federal rules. State Plans also have the option to promulgate standards covering hazards not addressed by federal standards. During this period, OSHNC adopted all federal directives and OSHA-initiated standards, which required action in a timely manner, except for the Maximum Penalty Increase. The tables below provide a complete list of the federal directives and standards, which required action during this period:</w:t>
      </w:r>
    </w:p>
    <w:p w14:paraId="7D5DE8C4" w14:textId="3B1D762E" w:rsidR="000B7AA9" w:rsidRDefault="000B7AA9" w:rsidP="00FC08A2">
      <w:pPr>
        <w:jc w:val="center"/>
        <w:rPr>
          <w:b/>
        </w:rPr>
      </w:pPr>
      <w:r w:rsidRPr="55214296">
        <w:rPr>
          <w:b/>
        </w:rPr>
        <w:t>Table A</w:t>
      </w:r>
    </w:p>
    <w:p w14:paraId="4F03EB53" w14:textId="274927BF" w:rsidR="000B7AA9" w:rsidRDefault="000B7AA9" w:rsidP="00FC08A2">
      <w:pPr>
        <w:tabs>
          <w:tab w:val="left" w:pos="8367"/>
        </w:tabs>
        <w:jc w:val="center"/>
        <w:rPr>
          <w:b/>
        </w:rPr>
      </w:pPr>
      <w:r w:rsidRPr="55214296">
        <w:rPr>
          <w:b/>
        </w:rPr>
        <w:t>Status of FY 2022 and FY 2023 Federal Standards Where Adoption Was Required</w:t>
      </w:r>
    </w:p>
    <w:p w14:paraId="30C967C0" w14:textId="2914FAE7" w:rsidR="4B750326" w:rsidRDefault="4B750326" w:rsidP="55214296">
      <w:pPr>
        <w:jc w:val="center"/>
      </w:pPr>
      <w:r w:rsidRPr="55214296">
        <w:t>(May include any delinquent standards from earlier fiscal years)</w:t>
      </w:r>
    </w:p>
    <w:tbl>
      <w:tblPr>
        <w:tblStyle w:val="TableGrid"/>
        <w:tblW w:w="0" w:type="auto"/>
        <w:tblLayout w:type="fixed"/>
        <w:tblLook w:val="06A0" w:firstRow="1" w:lastRow="0" w:firstColumn="1" w:lastColumn="0" w:noHBand="1" w:noVBand="1"/>
      </w:tblPr>
      <w:tblGrid>
        <w:gridCol w:w="2385"/>
        <w:gridCol w:w="1395"/>
        <w:gridCol w:w="1357"/>
        <w:gridCol w:w="1065"/>
        <w:gridCol w:w="1155"/>
        <w:gridCol w:w="1425"/>
        <w:gridCol w:w="1516"/>
      </w:tblGrid>
      <w:tr w:rsidR="55214296" w14:paraId="2A74764F" w14:textId="77777777" w:rsidTr="3890C083">
        <w:trPr>
          <w:trHeight w:val="300"/>
        </w:trPr>
        <w:tc>
          <w:tcPr>
            <w:tcW w:w="2385" w:type="dxa"/>
            <w:tcBorders>
              <w:top w:val="single" w:sz="8" w:space="0" w:color="auto"/>
              <w:left w:val="single" w:sz="8" w:space="0" w:color="auto"/>
              <w:bottom w:val="single" w:sz="8" w:space="0" w:color="auto"/>
              <w:right w:val="single" w:sz="8" w:space="0" w:color="auto"/>
            </w:tcBorders>
            <w:shd w:val="clear" w:color="auto" w:fill="44546A"/>
            <w:tcMar>
              <w:left w:w="108" w:type="dxa"/>
              <w:right w:w="108" w:type="dxa"/>
            </w:tcMar>
          </w:tcPr>
          <w:p w14:paraId="7EA246C1" w14:textId="0135007E" w:rsidR="55214296" w:rsidRDefault="55214296" w:rsidP="55214296">
            <w:pPr>
              <w:rPr>
                <w:b/>
                <w:bCs/>
                <w:color w:val="FFFFFF" w:themeColor="background1"/>
              </w:rPr>
            </w:pPr>
            <w:r w:rsidRPr="55214296">
              <w:rPr>
                <w:b/>
                <w:bCs/>
                <w:color w:val="FFFFFF" w:themeColor="background1"/>
              </w:rPr>
              <w:t>Standard</w:t>
            </w:r>
          </w:p>
        </w:tc>
        <w:tc>
          <w:tcPr>
            <w:tcW w:w="1395" w:type="dxa"/>
            <w:tcBorders>
              <w:top w:val="single" w:sz="8" w:space="0" w:color="auto"/>
              <w:left w:val="single" w:sz="8" w:space="0" w:color="auto"/>
              <w:bottom w:val="single" w:sz="8" w:space="0" w:color="auto"/>
              <w:right w:val="single" w:sz="8" w:space="0" w:color="auto"/>
            </w:tcBorders>
            <w:shd w:val="clear" w:color="auto" w:fill="44546A"/>
            <w:tcMar>
              <w:left w:w="108" w:type="dxa"/>
              <w:right w:w="108" w:type="dxa"/>
            </w:tcMar>
          </w:tcPr>
          <w:p w14:paraId="60C99C54" w14:textId="1614B997" w:rsidR="55214296" w:rsidRDefault="55214296" w:rsidP="55214296">
            <w:pPr>
              <w:rPr>
                <w:b/>
                <w:bCs/>
                <w:color w:val="FFFFFF" w:themeColor="background1"/>
              </w:rPr>
            </w:pPr>
            <w:r w:rsidRPr="55214296">
              <w:rPr>
                <w:b/>
                <w:bCs/>
                <w:color w:val="FFFFFF" w:themeColor="background1"/>
              </w:rPr>
              <w:t xml:space="preserve">Response </w:t>
            </w:r>
            <w:r w:rsidRPr="55214296">
              <w:rPr>
                <w:b/>
                <w:bCs/>
                <w:color w:val="FFFFFF" w:themeColor="background1"/>
              </w:rPr>
              <w:lastRenderedPageBreak/>
              <w:t>Due Date</w:t>
            </w:r>
          </w:p>
        </w:tc>
        <w:tc>
          <w:tcPr>
            <w:tcW w:w="1357" w:type="dxa"/>
            <w:tcBorders>
              <w:top w:val="single" w:sz="8" w:space="0" w:color="auto"/>
              <w:left w:val="single" w:sz="8" w:space="0" w:color="auto"/>
              <w:bottom w:val="single" w:sz="8" w:space="0" w:color="auto"/>
              <w:right w:val="single" w:sz="8" w:space="0" w:color="auto"/>
            </w:tcBorders>
            <w:shd w:val="clear" w:color="auto" w:fill="44546A"/>
            <w:tcMar>
              <w:left w:w="108" w:type="dxa"/>
              <w:right w:w="108" w:type="dxa"/>
            </w:tcMar>
          </w:tcPr>
          <w:p w14:paraId="76967353" w14:textId="58A0505C" w:rsidR="55214296" w:rsidRDefault="55214296" w:rsidP="55214296">
            <w:pPr>
              <w:rPr>
                <w:b/>
                <w:bCs/>
                <w:color w:val="FFFFFF" w:themeColor="background1"/>
              </w:rPr>
            </w:pPr>
            <w:r w:rsidRPr="55214296">
              <w:rPr>
                <w:b/>
                <w:bCs/>
                <w:color w:val="FFFFFF" w:themeColor="background1"/>
              </w:rPr>
              <w:lastRenderedPageBreak/>
              <w:t xml:space="preserve">State Plan </w:t>
            </w:r>
            <w:r w:rsidRPr="55214296">
              <w:rPr>
                <w:b/>
                <w:bCs/>
                <w:color w:val="FFFFFF" w:themeColor="background1"/>
              </w:rPr>
              <w:lastRenderedPageBreak/>
              <w:t>Response Date</w:t>
            </w:r>
          </w:p>
        </w:tc>
        <w:tc>
          <w:tcPr>
            <w:tcW w:w="1065" w:type="dxa"/>
            <w:tcBorders>
              <w:top w:val="single" w:sz="8" w:space="0" w:color="auto"/>
              <w:left w:val="single" w:sz="8" w:space="0" w:color="auto"/>
              <w:bottom w:val="single" w:sz="8" w:space="0" w:color="auto"/>
              <w:right w:val="single" w:sz="8" w:space="0" w:color="auto"/>
            </w:tcBorders>
            <w:shd w:val="clear" w:color="auto" w:fill="44546A"/>
            <w:tcMar>
              <w:left w:w="108" w:type="dxa"/>
              <w:right w:w="108" w:type="dxa"/>
            </w:tcMar>
          </w:tcPr>
          <w:p w14:paraId="1A418A86" w14:textId="3C270E63" w:rsidR="55214296" w:rsidRDefault="55214296" w:rsidP="55214296">
            <w:pPr>
              <w:rPr>
                <w:b/>
                <w:bCs/>
                <w:color w:val="FFFFFF" w:themeColor="background1"/>
              </w:rPr>
            </w:pPr>
            <w:r w:rsidRPr="55214296">
              <w:rPr>
                <w:b/>
                <w:bCs/>
                <w:color w:val="FFFFFF" w:themeColor="background1"/>
              </w:rPr>
              <w:lastRenderedPageBreak/>
              <w:t xml:space="preserve">Intent </w:t>
            </w:r>
            <w:r w:rsidRPr="55214296">
              <w:rPr>
                <w:b/>
                <w:bCs/>
                <w:color w:val="FFFFFF" w:themeColor="background1"/>
              </w:rPr>
              <w:lastRenderedPageBreak/>
              <w:t>to Adopt</w:t>
            </w:r>
          </w:p>
        </w:tc>
        <w:tc>
          <w:tcPr>
            <w:tcW w:w="1155" w:type="dxa"/>
            <w:tcBorders>
              <w:top w:val="single" w:sz="8" w:space="0" w:color="auto"/>
              <w:left w:val="single" w:sz="8" w:space="0" w:color="auto"/>
              <w:bottom w:val="single" w:sz="8" w:space="0" w:color="auto"/>
              <w:right w:val="single" w:sz="8" w:space="0" w:color="auto"/>
            </w:tcBorders>
            <w:shd w:val="clear" w:color="auto" w:fill="44546A"/>
            <w:tcMar>
              <w:left w:w="108" w:type="dxa"/>
              <w:right w:w="108" w:type="dxa"/>
            </w:tcMar>
          </w:tcPr>
          <w:p w14:paraId="1F62AD73" w14:textId="3B40E160" w:rsidR="55214296" w:rsidRDefault="55214296" w:rsidP="55214296">
            <w:pPr>
              <w:rPr>
                <w:b/>
                <w:bCs/>
                <w:color w:val="FFFFFF" w:themeColor="background1"/>
              </w:rPr>
            </w:pPr>
            <w:r w:rsidRPr="55214296">
              <w:rPr>
                <w:b/>
                <w:bCs/>
                <w:color w:val="FFFFFF" w:themeColor="background1"/>
              </w:rPr>
              <w:lastRenderedPageBreak/>
              <w:t xml:space="preserve">Adopt </w:t>
            </w:r>
            <w:r w:rsidRPr="55214296">
              <w:rPr>
                <w:b/>
                <w:bCs/>
                <w:color w:val="FFFFFF" w:themeColor="background1"/>
              </w:rPr>
              <w:lastRenderedPageBreak/>
              <w:t>Identical</w:t>
            </w:r>
          </w:p>
        </w:tc>
        <w:tc>
          <w:tcPr>
            <w:tcW w:w="1425" w:type="dxa"/>
            <w:tcBorders>
              <w:top w:val="single" w:sz="8" w:space="0" w:color="auto"/>
              <w:left w:val="single" w:sz="8" w:space="0" w:color="auto"/>
              <w:bottom w:val="single" w:sz="8" w:space="0" w:color="auto"/>
              <w:right w:val="single" w:sz="8" w:space="0" w:color="auto"/>
            </w:tcBorders>
            <w:shd w:val="clear" w:color="auto" w:fill="44546A"/>
            <w:tcMar>
              <w:left w:w="108" w:type="dxa"/>
              <w:right w:w="108" w:type="dxa"/>
            </w:tcMar>
          </w:tcPr>
          <w:p w14:paraId="6001EFCF" w14:textId="3CB0B483" w:rsidR="55214296" w:rsidRDefault="55214296" w:rsidP="55214296">
            <w:pPr>
              <w:rPr>
                <w:b/>
                <w:bCs/>
                <w:color w:val="FFFFFF" w:themeColor="background1"/>
              </w:rPr>
            </w:pPr>
            <w:r w:rsidRPr="55214296">
              <w:rPr>
                <w:b/>
                <w:bCs/>
                <w:color w:val="FFFFFF" w:themeColor="background1"/>
              </w:rPr>
              <w:lastRenderedPageBreak/>
              <w:t xml:space="preserve">Adoption </w:t>
            </w:r>
            <w:r w:rsidRPr="55214296">
              <w:rPr>
                <w:b/>
                <w:bCs/>
                <w:color w:val="FFFFFF" w:themeColor="background1"/>
              </w:rPr>
              <w:lastRenderedPageBreak/>
              <w:t>Due Date</w:t>
            </w:r>
          </w:p>
        </w:tc>
        <w:tc>
          <w:tcPr>
            <w:tcW w:w="1516" w:type="dxa"/>
            <w:tcBorders>
              <w:top w:val="single" w:sz="8" w:space="0" w:color="auto"/>
              <w:left w:val="single" w:sz="8" w:space="0" w:color="auto"/>
              <w:bottom w:val="single" w:sz="8" w:space="0" w:color="auto"/>
              <w:right w:val="single" w:sz="8" w:space="0" w:color="auto"/>
            </w:tcBorders>
            <w:shd w:val="clear" w:color="auto" w:fill="44546A"/>
            <w:tcMar>
              <w:left w:w="108" w:type="dxa"/>
              <w:right w:w="108" w:type="dxa"/>
            </w:tcMar>
          </w:tcPr>
          <w:p w14:paraId="242516F0" w14:textId="03E0CE70" w:rsidR="55214296" w:rsidRDefault="55214296" w:rsidP="55214296">
            <w:pPr>
              <w:rPr>
                <w:b/>
                <w:bCs/>
                <w:color w:val="FFFFFF" w:themeColor="background1"/>
              </w:rPr>
            </w:pPr>
            <w:r w:rsidRPr="55214296">
              <w:rPr>
                <w:b/>
                <w:bCs/>
                <w:color w:val="FFFFFF" w:themeColor="background1"/>
              </w:rPr>
              <w:lastRenderedPageBreak/>
              <w:t xml:space="preserve">State Plan </w:t>
            </w:r>
            <w:r w:rsidRPr="55214296">
              <w:rPr>
                <w:b/>
                <w:bCs/>
                <w:color w:val="FFFFFF" w:themeColor="background1"/>
              </w:rPr>
              <w:lastRenderedPageBreak/>
              <w:t>Adoption Date</w:t>
            </w:r>
          </w:p>
        </w:tc>
      </w:tr>
      <w:tr w:rsidR="55214296" w14:paraId="2245BF43" w14:textId="77777777" w:rsidTr="3890C083">
        <w:trPr>
          <w:trHeight w:val="300"/>
        </w:trPr>
        <w:tc>
          <w:tcPr>
            <w:tcW w:w="2385" w:type="dxa"/>
            <w:tcBorders>
              <w:top w:val="single" w:sz="8" w:space="0" w:color="auto"/>
              <w:left w:val="single" w:sz="8" w:space="0" w:color="auto"/>
              <w:bottom w:val="single" w:sz="8" w:space="0" w:color="auto"/>
              <w:right w:val="single" w:sz="8" w:space="0" w:color="auto"/>
            </w:tcBorders>
            <w:tcMar>
              <w:left w:w="108" w:type="dxa"/>
              <w:right w:w="108" w:type="dxa"/>
            </w:tcMar>
          </w:tcPr>
          <w:p w14:paraId="64C5ADAF" w14:textId="420D865E" w:rsidR="55214296" w:rsidRDefault="55214296" w:rsidP="55214296">
            <w:r w:rsidRPr="55214296">
              <w:lastRenderedPageBreak/>
              <w:t>*Emergency Temporary Standard</w:t>
            </w:r>
          </w:p>
          <w:p w14:paraId="3B08E5F6" w14:textId="0503A857" w:rsidR="55214296" w:rsidRDefault="55214296" w:rsidP="55214296">
            <w:r w:rsidRPr="55214296">
              <w:t>(Different fiscal year)</w:t>
            </w:r>
          </w:p>
          <w:p w14:paraId="06082402" w14:textId="2501B06C" w:rsidR="55214296" w:rsidRDefault="55214296" w:rsidP="55214296">
            <w:r w:rsidRPr="55214296">
              <w:t xml:space="preserve"> </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tcPr>
          <w:p w14:paraId="255D6872" w14:textId="42A8DAA7" w:rsidR="55214296" w:rsidRDefault="55214296" w:rsidP="55214296">
            <w:r w:rsidRPr="55214296">
              <w:t>7/06/2021</w:t>
            </w:r>
          </w:p>
          <w:p w14:paraId="60824703" w14:textId="18523DC1" w:rsidR="55214296" w:rsidRDefault="55214296" w:rsidP="55214296">
            <w:r w:rsidRPr="55214296">
              <w:t xml:space="preserve"> </w:t>
            </w:r>
          </w:p>
        </w:tc>
        <w:tc>
          <w:tcPr>
            <w:tcW w:w="1357" w:type="dxa"/>
            <w:tcBorders>
              <w:top w:val="single" w:sz="8" w:space="0" w:color="auto"/>
              <w:left w:val="single" w:sz="8" w:space="0" w:color="auto"/>
              <w:bottom w:val="single" w:sz="8" w:space="0" w:color="auto"/>
              <w:right w:val="single" w:sz="8" w:space="0" w:color="auto"/>
            </w:tcBorders>
            <w:tcMar>
              <w:left w:w="108" w:type="dxa"/>
              <w:right w:w="108" w:type="dxa"/>
            </w:tcMar>
          </w:tcPr>
          <w:p w14:paraId="53611059" w14:textId="4ACC898C" w:rsidR="55214296" w:rsidRDefault="55214296" w:rsidP="55214296">
            <w:r w:rsidRPr="55214296">
              <w:t>7/02/2021</w:t>
            </w:r>
          </w:p>
          <w:p w14:paraId="1A0020C3" w14:textId="41CF2ACE" w:rsidR="55214296" w:rsidRDefault="55214296" w:rsidP="55214296">
            <w:r w:rsidRPr="55214296">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33E2F259" w14:textId="4A98F451" w:rsidR="55214296" w:rsidRDefault="55214296" w:rsidP="55214296">
            <w:r w:rsidRPr="55214296">
              <w:t>*Yes</w:t>
            </w:r>
          </w:p>
          <w:p w14:paraId="3839A69A" w14:textId="537A723F" w:rsidR="55214296" w:rsidRDefault="55214296" w:rsidP="55214296">
            <w:r w:rsidRPr="55214296">
              <w:t xml:space="preserve"> </w:t>
            </w:r>
          </w:p>
        </w:tc>
        <w:tc>
          <w:tcPr>
            <w:tcW w:w="1155" w:type="dxa"/>
            <w:tcBorders>
              <w:top w:val="single" w:sz="8" w:space="0" w:color="auto"/>
              <w:left w:val="single" w:sz="8" w:space="0" w:color="auto"/>
              <w:bottom w:val="single" w:sz="8" w:space="0" w:color="auto"/>
              <w:right w:val="single" w:sz="8" w:space="0" w:color="auto"/>
            </w:tcBorders>
            <w:tcMar>
              <w:left w:w="108" w:type="dxa"/>
              <w:right w:w="108" w:type="dxa"/>
            </w:tcMar>
          </w:tcPr>
          <w:p w14:paraId="28C39A8E" w14:textId="4F689D48" w:rsidR="55214296" w:rsidRDefault="55214296" w:rsidP="55214296">
            <w:r w:rsidRPr="55214296">
              <w:t>*Yes</w:t>
            </w:r>
          </w:p>
          <w:p w14:paraId="76059C6D" w14:textId="574434B4" w:rsidR="55214296" w:rsidRDefault="55214296" w:rsidP="55214296">
            <w:r w:rsidRPr="55214296">
              <w:t xml:space="preserve"> </w:t>
            </w:r>
          </w:p>
        </w:tc>
        <w:tc>
          <w:tcPr>
            <w:tcW w:w="1425" w:type="dxa"/>
            <w:tcBorders>
              <w:top w:val="single" w:sz="8" w:space="0" w:color="auto"/>
              <w:left w:val="single" w:sz="8" w:space="0" w:color="auto"/>
              <w:bottom w:val="single" w:sz="8" w:space="0" w:color="auto"/>
              <w:right w:val="single" w:sz="8" w:space="0" w:color="auto"/>
            </w:tcBorders>
            <w:tcMar>
              <w:left w:w="108" w:type="dxa"/>
              <w:right w:w="108" w:type="dxa"/>
            </w:tcMar>
          </w:tcPr>
          <w:p w14:paraId="3B880883" w14:textId="7C3701AE" w:rsidR="55214296" w:rsidRDefault="55214296" w:rsidP="55214296">
            <w:r w:rsidRPr="55214296">
              <w:t>*7/06/2021</w:t>
            </w:r>
          </w:p>
          <w:p w14:paraId="75C3CC23" w14:textId="16426941" w:rsidR="55214296" w:rsidRDefault="55214296" w:rsidP="55214296">
            <w:r w:rsidRPr="55214296">
              <w:t xml:space="preserve"> </w:t>
            </w:r>
          </w:p>
        </w:tc>
        <w:tc>
          <w:tcPr>
            <w:tcW w:w="1516" w:type="dxa"/>
            <w:tcBorders>
              <w:top w:val="single" w:sz="8" w:space="0" w:color="auto"/>
              <w:left w:val="single" w:sz="8" w:space="0" w:color="auto"/>
              <w:bottom w:val="single" w:sz="8" w:space="0" w:color="auto"/>
              <w:right w:val="single" w:sz="8" w:space="0" w:color="auto"/>
            </w:tcBorders>
            <w:tcMar>
              <w:left w:w="108" w:type="dxa"/>
              <w:right w:w="108" w:type="dxa"/>
            </w:tcMar>
          </w:tcPr>
          <w:p w14:paraId="0365A701" w14:textId="6F219816" w:rsidR="55214296" w:rsidRDefault="55214296" w:rsidP="55214296">
            <w:r w:rsidRPr="55214296">
              <w:t>*6/21//2021</w:t>
            </w:r>
          </w:p>
          <w:p w14:paraId="5EEC0EBB" w14:textId="261AD431" w:rsidR="55214296" w:rsidRDefault="55214296" w:rsidP="55214296">
            <w:r w:rsidRPr="55214296">
              <w:t xml:space="preserve"> </w:t>
            </w:r>
          </w:p>
        </w:tc>
      </w:tr>
      <w:tr w:rsidR="55214296" w14:paraId="3B267366" w14:textId="77777777" w:rsidTr="3890C083">
        <w:trPr>
          <w:trHeight w:val="300"/>
        </w:trPr>
        <w:tc>
          <w:tcPr>
            <w:tcW w:w="2385" w:type="dxa"/>
            <w:tcBorders>
              <w:top w:val="single" w:sz="8" w:space="0" w:color="auto"/>
              <w:left w:val="single" w:sz="8" w:space="0" w:color="auto"/>
              <w:bottom w:val="single" w:sz="8" w:space="0" w:color="auto"/>
              <w:right w:val="single" w:sz="8" w:space="0" w:color="auto"/>
            </w:tcBorders>
            <w:tcMar>
              <w:left w:w="108" w:type="dxa"/>
              <w:right w:w="108" w:type="dxa"/>
            </w:tcMar>
          </w:tcPr>
          <w:p w14:paraId="70A09800" w14:textId="04C74BD6" w:rsidR="55214296" w:rsidRDefault="55214296" w:rsidP="55214296">
            <w:r w:rsidRPr="55214296">
              <w:t>COVID-19 Vaccination and Testing; Emergency Temporary Standard</w:t>
            </w:r>
          </w:p>
          <w:p w14:paraId="66941971" w14:textId="4CDC0382" w:rsidR="55214296" w:rsidRDefault="55214296" w:rsidP="55214296">
            <w:r w:rsidRPr="55214296">
              <w:t>29 CFR 1910, 15, 17, 18, 26, 28</w:t>
            </w:r>
          </w:p>
          <w:p w14:paraId="0EAA886F" w14:textId="4A59A41B" w:rsidR="55214296" w:rsidRDefault="55214296" w:rsidP="55214296">
            <w:r w:rsidRPr="55214296">
              <w:t>(11/5/2021)</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tcPr>
          <w:p w14:paraId="752296FC" w14:textId="18F0046F" w:rsidR="55214296" w:rsidRDefault="55214296" w:rsidP="55214296">
            <w:r w:rsidRPr="55214296">
              <w:t>11/20/2021</w:t>
            </w:r>
          </w:p>
        </w:tc>
        <w:tc>
          <w:tcPr>
            <w:tcW w:w="1357" w:type="dxa"/>
            <w:tcBorders>
              <w:top w:val="single" w:sz="8" w:space="0" w:color="auto"/>
              <w:left w:val="single" w:sz="8" w:space="0" w:color="auto"/>
              <w:bottom w:val="single" w:sz="8" w:space="0" w:color="auto"/>
              <w:right w:val="single" w:sz="8" w:space="0" w:color="auto"/>
            </w:tcBorders>
            <w:tcMar>
              <w:left w:w="108" w:type="dxa"/>
              <w:right w:w="108" w:type="dxa"/>
            </w:tcMar>
          </w:tcPr>
          <w:p w14:paraId="0B16DF64" w14:textId="0A866589" w:rsidR="55214296" w:rsidRDefault="49C5CD89" w:rsidP="55214296">
            <w:r>
              <w:t>n/a</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23177010" w14:textId="4B2A92DA" w:rsidR="55214296" w:rsidRDefault="55214296" w:rsidP="55214296">
            <w:r w:rsidRPr="55214296">
              <w:t>No</w:t>
            </w:r>
          </w:p>
        </w:tc>
        <w:tc>
          <w:tcPr>
            <w:tcW w:w="1155" w:type="dxa"/>
            <w:tcBorders>
              <w:top w:val="single" w:sz="8" w:space="0" w:color="auto"/>
              <w:left w:val="single" w:sz="8" w:space="0" w:color="auto"/>
              <w:bottom w:val="single" w:sz="8" w:space="0" w:color="auto"/>
              <w:right w:val="single" w:sz="8" w:space="0" w:color="auto"/>
            </w:tcBorders>
            <w:tcMar>
              <w:left w:w="108" w:type="dxa"/>
              <w:right w:w="108" w:type="dxa"/>
            </w:tcMar>
          </w:tcPr>
          <w:p w14:paraId="42F429C6" w14:textId="3042DE2E" w:rsidR="55214296" w:rsidRDefault="55214296" w:rsidP="55214296">
            <w:r w:rsidRPr="55214296">
              <w:t>No</w:t>
            </w:r>
          </w:p>
        </w:tc>
        <w:tc>
          <w:tcPr>
            <w:tcW w:w="1425" w:type="dxa"/>
            <w:tcBorders>
              <w:top w:val="single" w:sz="8" w:space="0" w:color="auto"/>
              <w:left w:val="single" w:sz="8" w:space="0" w:color="auto"/>
              <w:bottom w:val="single" w:sz="8" w:space="0" w:color="auto"/>
              <w:right w:val="single" w:sz="8" w:space="0" w:color="auto"/>
            </w:tcBorders>
            <w:tcMar>
              <w:left w:w="108" w:type="dxa"/>
              <w:right w:w="108" w:type="dxa"/>
            </w:tcMar>
          </w:tcPr>
          <w:p w14:paraId="6414FE54" w14:textId="43A509A3" w:rsidR="55214296" w:rsidRDefault="55214296" w:rsidP="55214296">
            <w:r w:rsidRPr="55214296">
              <w:t>12/5/2021</w:t>
            </w:r>
          </w:p>
        </w:tc>
        <w:tc>
          <w:tcPr>
            <w:tcW w:w="1516" w:type="dxa"/>
            <w:tcBorders>
              <w:top w:val="single" w:sz="8" w:space="0" w:color="auto"/>
              <w:left w:val="single" w:sz="8" w:space="0" w:color="auto"/>
              <w:bottom w:val="single" w:sz="8" w:space="0" w:color="auto"/>
              <w:right w:val="single" w:sz="8" w:space="0" w:color="auto"/>
            </w:tcBorders>
            <w:tcMar>
              <w:left w:w="108" w:type="dxa"/>
              <w:right w:w="108" w:type="dxa"/>
            </w:tcMar>
          </w:tcPr>
          <w:p w14:paraId="039214C3" w14:textId="263C0CDE" w:rsidR="55214296" w:rsidRDefault="55214296" w:rsidP="55214296">
            <w:r w:rsidRPr="55214296">
              <w:t>n/a</w:t>
            </w:r>
          </w:p>
        </w:tc>
      </w:tr>
      <w:tr w:rsidR="55214296" w14:paraId="1EEB240F" w14:textId="77777777" w:rsidTr="3890C083">
        <w:trPr>
          <w:trHeight w:val="300"/>
        </w:trPr>
        <w:tc>
          <w:tcPr>
            <w:tcW w:w="2385" w:type="dxa"/>
            <w:tcBorders>
              <w:top w:val="single" w:sz="8" w:space="0" w:color="auto"/>
              <w:left w:val="single" w:sz="8" w:space="0" w:color="auto"/>
              <w:bottom w:val="single" w:sz="8" w:space="0" w:color="auto"/>
              <w:right w:val="single" w:sz="8" w:space="0" w:color="auto"/>
            </w:tcBorders>
            <w:tcMar>
              <w:left w:w="108" w:type="dxa"/>
              <w:right w:w="108" w:type="dxa"/>
            </w:tcMar>
          </w:tcPr>
          <w:p w14:paraId="4F1665F3" w14:textId="573F04D5" w:rsidR="55214296" w:rsidRDefault="55214296" w:rsidP="55214296">
            <w:r w:rsidRPr="55214296">
              <w:t>Updated COVID-19 Vaccination and Testing; Emergency Temporary Standard</w:t>
            </w:r>
          </w:p>
          <w:p w14:paraId="204E5988" w14:textId="7C23D311" w:rsidR="55214296" w:rsidRDefault="55214296" w:rsidP="55214296">
            <w:r w:rsidRPr="55214296">
              <w:t>29 CFR 1910</w:t>
            </w:r>
          </w:p>
          <w:p w14:paraId="2E216E38" w14:textId="096C7A6F" w:rsidR="55214296" w:rsidRDefault="55214296" w:rsidP="55214296">
            <w:r w:rsidRPr="55214296">
              <w:t>(11/5/2021)</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tcPr>
          <w:p w14:paraId="27D70470" w14:textId="767EF343" w:rsidR="55214296" w:rsidRDefault="55214296" w:rsidP="55214296">
            <w:r w:rsidRPr="55214296">
              <w:t>1/7/2022</w:t>
            </w:r>
          </w:p>
        </w:tc>
        <w:tc>
          <w:tcPr>
            <w:tcW w:w="1357" w:type="dxa"/>
            <w:tcBorders>
              <w:top w:val="single" w:sz="8" w:space="0" w:color="auto"/>
              <w:left w:val="single" w:sz="8" w:space="0" w:color="auto"/>
              <w:bottom w:val="single" w:sz="8" w:space="0" w:color="auto"/>
              <w:right w:val="single" w:sz="8" w:space="0" w:color="auto"/>
            </w:tcBorders>
            <w:tcMar>
              <w:left w:w="108" w:type="dxa"/>
              <w:right w:w="108" w:type="dxa"/>
            </w:tcMar>
          </w:tcPr>
          <w:p w14:paraId="5AA6E6A0" w14:textId="017C24A9" w:rsidR="55214296" w:rsidRDefault="55214296" w:rsidP="55214296">
            <w:r w:rsidRPr="55214296">
              <w:t>1/07/2022</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730D6435" w14:textId="6FEA579A" w:rsidR="55214296" w:rsidRDefault="55214296" w:rsidP="55214296">
            <w:r w:rsidRPr="55214296">
              <w:t>No</w:t>
            </w:r>
          </w:p>
        </w:tc>
        <w:tc>
          <w:tcPr>
            <w:tcW w:w="1155" w:type="dxa"/>
            <w:tcBorders>
              <w:top w:val="single" w:sz="8" w:space="0" w:color="auto"/>
              <w:left w:val="single" w:sz="8" w:space="0" w:color="auto"/>
              <w:bottom w:val="single" w:sz="8" w:space="0" w:color="auto"/>
              <w:right w:val="single" w:sz="8" w:space="0" w:color="auto"/>
            </w:tcBorders>
            <w:tcMar>
              <w:left w:w="108" w:type="dxa"/>
              <w:right w:w="108" w:type="dxa"/>
            </w:tcMar>
          </w:tcPr>
          <w:p w14:paraId="43167CED" w14:textId="100AC632" w:rsidR="55214296" w:rsidRDefault="55214296" w:rsidP="55214296">
            <w:r w:rsidRPr="55214296">
              <w:t>No</w:t>
            </w:r>
          </w:p>
        </w:tc>
        <w:tc>
          <w:tcPr>
            <w:tcW w:w="1425" w:type="dxa"/>
            <w:tcBorders>
              <w:top w:val="single" w:sz="8" w:space="0" w:color="auto"/>
              <w:left w:val="single" w:sz="8" w:space="0" w:color="auto"/>
              <w:bottom w:val="single" w:sz="8" w:space="0" w:color="auto"/>
              <w:right w:val="single" w:sz="8" w:space="0" w:color="auto"/>
            </w:tcBorders>
            <w:tcMar>
              <w:left w:w="108" w:type="dxa"/>
              <w:right w:w="108" w:type="dxa"/>
            </w:tcMar>
          </w:tcPr>
          <w:p w14:paraId="4E94304C" w14:textId="556B0737" w:rsidR="55214296" w:rsidRDefault="55214296" w:rsidP="55214296">
            <w:r w:rsidRPr="55214296">
              <w:t>1/24/2022</w:t>
            </w:r>
          </w:p>
        </w:tc>
        <w:tc>
          <w:tcPr>
            <w:tcW w:w="1516" w:type="dxa"/>
            <w:tcBorders>
              <w:top w:val="single" w:sz="8" w:space="0" w:color="auto"/>
              <w:left w:val="single" w:sz="8" w:space="0" w:color="auto"/>
              <w:bottom w:val="single" w:sz="8" w:space="0" w:color="auto"/>
              <w:right w:val="single" w:sz="8" w:space="0" w:color="auto"/>
            </w:tcBorders>
            <w:tcMar>
              <w:left w:w="108" w:type="dxa"/>
              <w:right w:w="108" w:type="dxa"/>
            </w:tcMar>
          </w:tcPr>
          <w:p w14:paraId="127B4014" w14:textId="51DA40C2" w:rsidR="55214296" w:rsidRDefault="55214296" w:rsidP="55214296">
            <w:r w:rsidRPr="55214296">
              <w:t>n/a</w:t>
            </w:r>
          </w:p>
        </w:tc>
      </w:tr>
      <w:tr w:rsidR="55214296" w14:paraId="527C39EF" w14:textId="77777777" w:rsidTr="3890C083">
        <w:trPr>
          <w:trHeight w:val="300"/>
        </w:trPr>
        <w:tc>
          <w:tcPr>
            <w:tcW w:w="2385" w:type="dxa"/>
            <w:tcBorders>
              <w:top w:val="single" w:sz="8" w:space="0" w:color="auto"/>
              <w:left w:val="single" w:sz="8" w:space="0" w:color="auto"/>
              <w:bottom w:val="single" w:sz="8" w:space="0" w:color="auto"/>
              <w:right w:val="single" w:sz="8" w:space="0" w:color="auto"/>
            </w:tcBorders>
            <w:tcMar>
              <w:left w:w="108" w:type="dxa"/>
              <w:right w:w="108" w:type="dxa"/>
            </w:tcMar>
          </w:tcPr>
          <w:p w14:paraId="06D206E8" w14:textId="55525FC3" w:rsidR="55214296" w:rsidRDefault="55214296" w:rsidP="55214296">
            <w:r w:rsidRPr="55214296">
              <w:t>Final Rule on the Department of Labor Civil Penalties for Inflation Adjustment Act – Annual Adjustment for 2022</w:t>
            </w:r>
          </w:p>
          <w:p w14:paraId="584B8918" w14:textId="5C34F158" w:rsidR="55214296" w:rsidRDefault="55214296" w:rsidP="55214296">
            <w:r w:rsidRPr="55214296">
              <w:t>29 CFR 1903</w:t>
            </w:r>
          </w:p>
          <w:p w14:paraId="3670C1B9" w14:textId="332CC779" w:rsidR="55214296" w:rsidRDefault="55214296" w:rsidP="55214296">
            <w:r w:rsidRPr="55214296">
              <w:t>(1/15/2022)</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tcPr>
          <w:p w14:paraId="7A7D4351" w14:textId="230B6C7D" w:rsidR="55214296" w:rsidRDefault="55214296" w:rsidP="55214296">
            <w:r w:rsidRPr="55214296">
              <w:t>3/15/2022</w:t>
            </w:r>
          </w:p>
        </w:tc>
        <w:tc>
          <w:tcPr>
            <w:tcW w:w="1357" w:type="dxa"/>
            <w:tcBorders>
              <w:top w:val="single" w:sz="8" w:space="0" w:color="auto"/>
              <w:left w:val="single" w:sz="8" w:space="0" w:color="auto"/>
              <w:bottom w:val="single" w:sz="8" w:space="0" w:color="auto"/>
              <w:right w:val="single" w:sz="8" w:space="0" w:color="auto"/>
            </w:tcBorders>
            <w:tcMar>
              <w:left w:w="108" w:type="dxa"/>
              <w:right w:w="108" w:type="dxa"/>
            </w:tcMar>
          </w:tcPr>
          <w:p w14:paraId="2E508E30" w14:textId="2E0C8CDA" w:rsidR="55214296" w:rsidRDefault="55214296" w:rsidP="55214296">
            <w:r w:rsidRPr="55214296">
              <w:t>2/4/2022</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73CC5383" w14:textId="2CDFB593" w:rsidR="55214296" w:rsidRDefault="55214296" w:rsidP="55214296">
            <w:r w:rsidRPr="55214296">
              <w:t>Yes</w:t>
            </w:r>
          </w:p>
        </w:tc>
        <w:tc>
          <w:tcPr>
            <w:tcW w:w="1155" w:type="dxa"/>
            <w:tcBorders>
              <w:top w:val="single" w:sz="8" w:space="0" w:color="auto"/>
              <w:left w:val="single" w:sz="8" w:space="0" w:color="auto"/>
              <w:bottom w:val="single" w:sz="8" w:space="0" w:color="auto"/>
              <w:right w:val="single" w:sz="8" w:space="0" w:color="auto"/>
            </w:tcBorders>
            <w:tcMar>
              <w:left w:w="108" w:type="dxa"/>
              <w:right w:w="108" w:type="dxa"/>
            </w:tcMar>
          </w:tcPr>
          <w:p w14:paraId="3B660463" w14:textId="0F05D592" w:rsidR="55214296" w:rsidRDefault="55214296" w:rsidP="55214296">
            <w:r w:rsidRPr="55214296">
              <w:t>Yes</w:t>
            </w:r>
          </w:p>
        </w:tc>
        <w:tc>
          <w:tcPr>
            <w:tcW w:w="1425" w:type="dxa"/>
            <w:tcBorders>
              <w:top w:val="single" w:sz="8" w:space="0" w:color="auto"/>
              <w:left w:val="single" w:sz="8" w:space="0" w:color="auto"/>
              <w:bottom w:val="single" w:sz="8" w:space="0" w:color="auto"/>
              <w:right w:val="single" w:sz="8" w:space="0" w:color="auto"/>
            </w:tcBorders>
            <w:tcMar>
              <w:left w:w="108" w:type="dxa"/>
              <w:right w:w="108" w:type="dxa"/>
            </w:tcMar>
          </w:tcPr>
          <w:p w14:paraId="02C28015" w14:textId="1BA8611E" w:rsidR="55214296" w:rsidRDefault="55214296" w:rsidP="55214296">
            <w:r w:rsidRPr="55214296">
              <w:t>7/15/2022</w:t>
            </w:r>
          </w:p>
        </w:tc>
        <w:tc>
          <w:tcPr>
            <w:tcW w:w="1516" w:type="dxa"/>
            <w:tcBorders>
              <w:top w:val="single" w:sz="8" w:space="0" w:color="auto"/>
              <w:left w:val="single" w:sz="8" w:space="0" w:color="auto"/>
              <w:bottom w:val="single" w:sz="8" w:space="0" w:color="auto"/>
              <w:right w:val="single" w:sz="8" w:space="0" w:color="auto"/>
            </w:tcBorders>
            <w:tcMar>
              <w:left w:w="108" w:type="dxa"/>
              <w:right w:w="108" w:type="dxa"/>
            </w:tcMar>
          </w:tcPr>
          <w:p w14:paraId="598C300F" w14:textId="0DC0B78F" w:rsidR="55214296" w:rsidRDefault="55214296" w:rsidP="55214296">
            <w:r w:rsidRPr="55214296">
              <w:t>10/1/2022</w:t>
            </w:r>
          </w:p>
        </w:tc>
      </w:tr>
      <w:tr w:rsidR="55214296" w14:paraId="1A694BAE" w14:textId="77777777" w:rsidTr="3890C083">
        <w:trPr>
          <w:trHeight w:val="300"/>
        </w:trPr>
        <w:tc>
          <w:tcPr>
            <w:tcW w:w="2385" w:type="dxa"/>
            <w:tcBorders>
              <w:top w:val="single" w:sz="8" w:space="0" w:color="auto"/>
              <w:left w:val="single" w:sz="8" w:space="0" w:color="auto"/>
              <w:bottom w:val="single" w:sz="8" w:space="0" w:color="auto"/>
              <w:right w:val="single" w:sz="8" w:space="0" w:color="auto"/>
            </w:tcBorders>
            <w:tcMar>
              <w:left w:w="108" w:type="dxa"/>
              <w:right w:w="108" w:type="dxa"/>
            </w:tcMar>
          </w:tcPr>
          <w:p w14:paraId="30912275" w14:textId="383194C8" w:rsidR="55214296" w:rsidRDefault="55214296" w:rsidP="55214296">
            <w:r w:rsidRPr="55214296">
              <w:t>Occupational Exposure to COVID-19; Healthcare Emergency Temporary Standard: COVID-19 Log and Reporting Provisions</w:t>
            </w:r>
          </w:p>
          <w:p w14:paraId="524B8BFF" w14:textId="0C7A0B12" w:rsidR="55214296" w:rsidRDefault="55214296" w:rsidP="55214296">
            <w:r w:rsidRPr="55214296">
              <w:t>29 CFR 1910.502(q)(2)(ii), (q)(3)(ii)-(iv) and (r)</w:t>
            </w:r>
          </w:p>
          <w:p w14:paraId="0CE2E8FD" w14:textId="790376C9" w:rsidR="55214296" w:rsidRDefault="55214296" w:rsidP="55214296">
            <w:r w:rsidRPr="55214296">
              <w:t>(2/14/2022)</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tcPr>
          <w:p w14:paraId="72044BCF" w14:textId="6F0750AD" w:rsidR="55214296" w:rsidRDefault="55214296" w:rsidP="55214296">
            <w:r w:rsidRPr="55214296">
              <w:t>4/14/2022</w:t>
            </w:r>
          </w:p>
        </w:tc>
        <w:tc>
          <w:tcPr>
            <w:tcW w:w="1357" w:type="dxa"/>
            <w:tcBorders>
              <w:top w:val="single" w:sz="8" w:space="0" w:color="auto"/>
              <w:left w:val="single" w:sz="8" w:space="0" w:color="auto"/>
              <w:bottom w:val="single" w:sz="8" w:space="0" w:color="auto"/>
              <w:right w:val="single" w:sz="8" w:space="0" w:color="auto"/>
            </w:tcBorders>
            <w:tcMar>
              <w:left w:w="108" w:type="dxa"/>
              <w:right w:w="108" w:type="dxa"/>
            </w:tcMar>
          </w:tcPr>
          <w:p w14:paraId="4A0301A3" w14:textId="6BCCF48A" w:rsidR="55214296" w:rsidRDefault="55214296" w:rsidP="55214296">
            <w:r w:rsidRPr="55214296">
              <w:t>4/14/2022</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4FA47D78" w14:textId="602B1992" w:rsidR="55214296" w:rsidRDefault="55214296" w:rsidP="55214296">
            <w:r w:rsidRPr="55214296">
              <w:t>Yes</w:t>
            </w:r>
          </w:p>
        </w:tc>
        <w:tc>
          <w:tcPr>
            <w:tcW w:w="1155" w:type="dxa"/>
            <w:tcBorders>
              <w:top w:val="single" w:sz="8" w:space="0" w:color="auto"/>
              <w:left w:val="single" w:sz="8" w:space="0" w:color="auto"/>
              <w:bottom w:val="single" w:sz="8" w:space="0" w:color="auto"/>
              <w:right w:val="single" w:sz="8" w:space="0" w:color="auto"/>
            </w:tcBorders>
            <w:tcMar>
              <w:left w:w="108" w:type="dxa"/>
              <w:right w:w="108" w:type="dxa"/>
            </w:tcMar>
          </w:tcPr>
          <w:p w14:paraId="2AD77F65" w14:textId="324F006A" w:rsidR="55214296" w:rsidRDefault="55214296" w:rsidP="55214296">
            <w:r w:rsidRPr="55214296">
              <w:t>No</w:t>
            </w:r>
          </w:p>
        </w:tc>
        <w:tc>
          <w:tcPr>
            <w:tcW w:w="1425" w:type="dxa"/>
            <w:tcBorders>
              <w:top w:val="single" w:sz="8" w:space="0" w:color="auto"/>
              <w:left w:val="single" w:sz="8" w:space="0" w:color="auto"/>
              <w:bottom w:val="single" w:sz="8" w:space="0" w:color="auto"/>
              <w:right w:val="single" w:sz="8" w:space="0" w:color="auto"/>
            </w:tcBorders>
            <w:tcMar>
              <w:left w:w="108" w:type="dxa"/>
              <w:right w:w="108" w:type="dxa"/>
            </w:tcMar>
          </w:tcPr>
          <w:p w14:paraId="045D8749" w14:textId="245C313E" w:rsidR="55214296" w:rsidRDefault="55214296" w:rsidP="55214296">
            <w:r w:rsidRPr="55214296">
              <w:t>8/14/2022</w:t>
            </w:r>
          </w:p>
        </w:tc>
        <w:tc>
          <w:tcPr>
            <w:tcW w:w="1516" w:type="dxa"/>
            <w:tcBorders>
              <w:top w:val="single" w:sz="8" w:space="0" w:color="auto"/>
              <w:left w:val="single" w:sz="8" w:space="0" w:color="auto"/>
              <w:bottom w:val="single" w:sz="8" w:space="0" w:color="auto"/>
              <w:right w:val="single" w:sz="8" w:space="0" w:color="auto"/>
            </w:tcBorders>
            <w:tcMar>
              <w:left w:w="108" w:type="dxa"/>
              <w:right w:w="108" w:type="dxa"/>
            </w:tcMar>
          </w:tcPr>
          <w:p w14:paraId="412048F0" w14:textId="61A1F09C" w:rsidR="55214296" w:rsidRDefault="55214296" w:rsidP="55214296">
            <w:r w:rsidRPr="55214296">
              <w:t>* Waiting on Federal fiscal Note</w:t>
            </w:r>
          </w:p>
        </w:tc>
      </w:tr>
      <w:tr w:rsidR="55214296" w14:paraId="3A9420E5" w14:textId="77777777" w:rsidTr="3890C083">
        <w:trPr>
          <w:trHeight w:val="300"/>
        </w:trPr>
        <w:tc>
          <w:tcPr>
            <w:tcW w:w="2385" w:type="dxa"/>
            <w:tcBorders>
              <w:top w:val="single" w:sz="8" w:space="0" w:color="auto"/>
              <w:left w:val="single" w:sz="8" w:space="0" w:color="auto"/>
              <w:bottom w:val="single" w:sz="8" w:space="0" w:color="auto"/>
              <w:right w:val="single" w:sz="8" w:space="0" w:color="auto"/>
            </w:tcBorders>
            <w:tcMar>
              <w:left w:w="108" w:type="dxa"/>
              <w:right w:w="108" w:type="dxa"/>
            </w:tcMar>
          </w:tcPr>
          <w:p w14:paraId="4DFC9D49" w14:textId="4A6A37E4" w:rsidR="55214296" w:rsidRDefault="55214296" w:rsidP="55214296">
            <w:r w:rsidRPr="55214296">
              <w:t>Final Rule on the Department of Labor Civil Penalties for Inflation Adjustment Act – Annual Adjustment for 2023</w:t>
            </w:r>
          </w:p>
          <w:p w14:paraId="06848479" w14:textId="2E35C226" w:rsidR="55214296" w:rsidRDefault="55214296" w:rsidP="55214296">
            <w:r w:rsidRPr="55214296">
              <w:t>29 CFR 1903</w:t>
            </w:r>
          </w:p>
          <w:p w14:paraId="0BF8FFBD" w14:textId="6371F4EB" w:rsidR="55214296" w:rsidRDefault="55214296" w:rsidP="55214296">
            <w:r w:rsidRPr="55214296">
              <w:t>(1/15/2023)</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tcPr>
          <w:p w14:paraId="1362F74F" w14:textId="27F2F32E" w:rsidR="55214296" w:rsidRDefault="55214296" w:rsidP="55214296">
            <w:r w:rsidRPr="55214296">
              <w:t>3/16/2023</w:t>
            </w:r>
          </w:p>
        </w:tc>
        <w:tc>
          <w:tcPr>
            <w:tcW w:w="1357" w:type="dxa"/>
            <w:tcBorders>
              <w:top w:val="single" w:sz="8" w:space="0" w:color="auto"/>
              <w:left w:val="single" w:sz="8" w:space="0" w:color="auto"/>
              <w:bottom w:val="single" w:sz="8" w:space="0" w:color="auto"/>
              <w:right w:val="single" w:sz="8" w:space="0" w:color="auto"/>
            </w:tcBorders>
            <w:tcMar>
              <w:left w:w="108" w:type="dxa"/>
              <w:right w:w="108" w:type="dxa"/>
            </w:tcMar>
          </w:tcPr>
          <w:p w14:paraId="7CA40AA6" w14:textId="4C96DC1C" w:rsidR="55214296" w:rsidRDefault="55214296" w:rsidP="55214296">
            <w:r w:rsidRPr="55214296">
              <w:t>3/15/2023</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612A8987" w14:textId="432F65C9" w:rsidR="55214296" w:rsidRDefault="55214296" w:rsidP="55214296">
            <w:r w:rsidRPr="55214296">
              <w:t>Yes</w:t>
            </w:r>
          </w:p>
        </w:tc>
        <w:tc>
          <w:tcPr>
            <w:tcW w:w="1155" w:type="dxa"/>
            <w:tcBorders>
              <w:top w:val="single" w:sz="8" w:space="0" w:color="auto"/>
              <w:left w:val="single" w:sz="8" w:space="0" w:color="auto"/>
              <w:bottom w:val="single" w:sz="8" w:space="0" w:color="auto"/>
              <w:right w:val="single" w:sz="8" w:space="0" w:color="auto"/>
            </w:tcBorders>
            <w:tcMar>
              <w:left w:w="108" w:type="dxa"/>
              <w:right w:w="108" w:type="dxa"/>
            </w:tcMar>
          </w:tcPr>
          <w:p w14:paraId="0A3E5361" w14:textId="5B75162F" w:rsidR="55214296" w:rsidRDefault="55214296" w:rsidP="55214296">
            <w:r w:rsidRPr="55214296">
              <w:t>Yes</w:t>
            </w:r>
          </w:p>
        </w:tc>
        <w:tc>
          <w:tcPr>
            <w:tcW w:w="1425" w:type="dxa"/>
            <w:tcBorders>
              <w:top w:val="single" w:sz="8" w:space="0" w:color="auto"/>
              <w:left w:val="single" w:sz="8" w:space="0" w:color="auto"/>
              <w:bottom w:val="single" w:sz="8" w:space="0" w:color="auto"/>
              <w:right w:val="single" w:sz="8" w:space="0" w:color="auto"/>
            </w:tcBorders>
            <w:tcMar>
              <w:left w:w="108" w:type="dxa"/>
              <w:right w:w="108" w:type="dxa"/>
            </w:tcMar>
          </w:tcPr>
          <w:p w14:paraId="4850DEE3" w14:textId="31B38317" w:rsidR="55214296" w:rsidRDefault="55214296" w:rsidP="55214296">
            <w:r w:rsidRPr="55214296">
              <w:t>7/15/2023</w:t>
            </w:r>
          </w:p>
        </w:tc>
        <w:tc>
          <w:tcPr>
            <w:tcW w:w="1516" w:type="dxa"/>
            <w:tcBorders>
              <w:top w:val="single" w:sz="8" w:space="0" w:color="auto"/>
              <w:left w:val="single" w:sz="8" w:space="0" w:color="auto"/>
              <w:bottom w:val="single" w:sz="8" w:space="0" w:color="auto"/>
              <w:right w:val="single" w:sz="8" w:space="0" w:color="auto"/>
            </w:tcBorders>
            <w:tcMar>
              <w:left w:w="108" w:type="dxa"/>
              <w:right w:w="108" w:type="dxa"/>
            </w:tcMar>
          </w:tcPr>
          <w:p w14:paraId="1E517512" w14:textId="77281160" w:rsidR="55214296" w:rsidRDefault="55214296" w:rsidP="55214296">
            <w:r w:rsidRPr="55214296">
              <w:t>3/15/2023</w:t>
            </w:r>
          </w:p>
        </w:tc>
      </w:tr>
      <w:tr w:rsidR="55214296" w14:paraId="729D77A4" w14:textId="77777777" w:rsidTr="3890C083">
        <w:trPr>
          <w:trHeight w:val="300"/>
        </w:trPr>
        <w:tc>
          <w:tcPr>
            <w:tcW w:w="2385" w:type="dxa"/>
            <w:tcBorders>
              <w:top w:val="single" w:sz="8" w:space="0" w:color="auto"/>
              <w:left w:val="single" w:sz="8" w:space="0" w:color="auto"/>
              <w:bottom w:val="single" w:sz="8" w:space="0" w:color="auto"/>
              <w:right w:val="single" w:sz="8" w:space="0" w:color="auto"/>
            </w:tcBorders>
            <w:tcMar>
              <w:left w:w="108" w:type="dxa"/>
              <w:right w:w="108" w:type="dxa"/>
            </w:tcMar>
          </w:tcPr>
          <w:p w14:paraId="716741CF" w14:textId="4F9DD341" w:rsidR="55214296" w:rsidRDefault="55214296" w:rsidP="55214296">
            <w:r w:rsidRPr="55214296">
              <w:t xml:space="preserve">Final Rule to Improve Tracking of </w:t>
            </w:r>
            <w:r w:rsidRPr="55214296">
              <w:lastRenderedPageBreak/>
              <w:t>Workplace Injuries and Illnesses</w:t>
            </w:r>
          </w:p>
          <w:p w14:paraId="734BF405" w14:textId="267207A5" w:rsidR="55214296" w:rsidRDefault="55214296" w:rsidP="55214296">
            <w:r w:rsidRPr="55214296">
              <w:t>29 CFR 1904</w:t>
            </w:r>
          </w:p>
          <w:p w14:paraId="6C797199" w14:textId="448EB5C3" w:rsidR="55214296" w:rsidRDefault="55214296" w:rsidP="55214296">
            <w:r w:rsidRPr="55214296">
              <w:t>(7/21/2023)</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tcPr>
          <w:p w14:paraId="39C10991" w14:textId="23C927B9" w:rsidR="55214296" w:rsidRDefault="55214296" w:rsidP="55214296">
            <w:r w:rsidRPr="55214296">
              <w:lastRenderedPageBreak/>
              <w:t>9/21/2023</w:t>
            </w:r>
          </w:p>
        </w:tc>
        <w:tc>
          <w:tcPr>
            <w:tcW w:w="1357" w:type="dxa"/>
            <w:tcBorders>
              <w:top w:val="single" w:sz="8" w:space="0" w:color="auto"/>
              <w:left w:val="single" w:sz="8" w:space="0" w:color="auto"/>
              <w:bottom w:val="single" w:sz="8" w:space="0" w:color="auto"/>
              <w:right w:val="single" w:sz="8" w:space="0" w:color="auto"/>
            </w:tcBorders>
            <w:tcMar>
              <w:left w:w="108" w:type="dxa"/>
              <w:right w:w="108" w:type="dxa"/>
            </w:tcMar>
          </w:tcPr>
          <w:p w14:paraId="041DAC72" w14:textId="069C0960" w:rsidR="55214296" w:rsidRDefault="55214296" w:rsidP="55214296">
            <w:r w:rsidRPr="55214296">
              <w:t>9/8/2023</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3B46A0B7" w14:textId="10814963" w:rsidR="55214296" w:rsidRDefault="55214296" w:rsidP="55214296">
            <w:r w:rsidRPr="55214296">
              <w:t>Yes</w:t>
            </w:r>
          </w:p>
        </w:tc>
        <w:tc>
          <w:tcPr>
            <w:tcW w:w="1155" w:type="dxa"/>
            <w:tcBorders>
              <w:top w:val="single" w:sz="8" w:space="0" w:color="auto"/>
              <w:left w:val="single" w:sz="8" w:space="0" w:color="auto"/>
              <w:bottom w:val="single" w:sz="8" w:space="0" w:color="auto"/>
              <w:right w:val="single" w:sz="8" w:space="0" w:color="auto"/>
            </w:tcBorders>
            <w:tcMar>
              <w:left w:w="108" w:type="dxa"/>
              <w:right w:w="108" w:type="dxa"/>
            </w:tcMar>
          </w:tcPr>
          <w:p w14:paraId="1B328C44" w14:textId="7FD159E7" w:rsidR="55214296" w:rsidRDefault="55214296" w:rsidP="55214296">
            <w:r w:rsidRPr="55214296">
              <w:t>Yes</w:t>
            </w:r>
          </w:p>
        </w:tc>
        <w:tc>
          <w:tcPr>
            <w:tcW w:w="1425" w:type="dxa"/>
            <w:tcBorders>
              <w:top w:val="single" w:sz="8" w:space="0" w:color="auto"/>
              <w:left w:val="single" w:sz="8" w:space="0" w:color="auto"/>
              <w:bottom w:val="single" w:sz="8" w:space="0" w:color="auto"/>
              <w:right w:val="single" w:sz="8" w:space="0" w:color="auto"/>
            </w:tcBorders>
            <w:tcMar>
              <w:left w:w="108" w:type="dxa"/>
              <w:right w:w="108" w:type="dxa"/>
            </w:tcMar>
          </w:tcPr>
          <w:p w14:paraId="136B1C94" w14:textId="786A6176" w:rsidR="55214296" w:rsidRDefault="55214296" w:rsidP="55214296">
            <w:r w:rsidRPr="55214296">
              <w:t>1/21/2024</w:t>
            </w:r>
          </w:p>
        </w:tc>
        <w:tc>
          <w:tcPr>
            <w:tcW w:w="1516" w:type="dxa"/>
            <w:tcBorders>
              <w:top w:val="single" w:sz="8" w:space="0" w:color="auto"/>
              <w:left w:val="single" w:sz="8" w:space="0" w:color="auto"/>
              <w:bottom w:val="single" w:sz="8" w:space="0" w:color="auto"/>
              <w:right w:val="single" w:sz="8" w:space="0" w:color="auto"/>
            </w:tcBorders>
            <w:tcMar>
              <w:left w:w="108" w:type="dxa"/>
              <w:right w:w="108" w:type="dxa"/>
            </w:tcMar>
          </w:tcPr>
          <w:p w14:paraId="27A180BA" w14:textId="69FD2255" w:rsidR="55214296" w:rsidRDefault="55214296" w:rsidP="55214296">
            <w:r w:rsidRPr="55214296">
              <w:t>1/21/2024</w:t>
            </w:r>
          </w:p>
        </w:tc>
      </w:tr>
    </w:tbl>
    <w:p w14:paraId="75D04289" w14:textId="26BA216E" w:rsidR="4B750326" w:rsidRDefault="4B750326" w:rsidP="55214296">
      <w:pPr>
        <w:tabs>
          <w:tab w:val="left" w:pos="8367"/>
        </w:tabs>
        <w:jc w:val="center"/>
        <w:rPr>
          <w:b/>
          <w:bCs/>
        </w:rPr>
      </w:pPr>
      <w:r w:rsidRPr="55214296">
        <w:rPr>
          <w:b/>
          <w:bCs/>
        </w:rPr>
        <w:t xml:space="preserve"> </w:t>
      </w:r>
    </w:p>
    <w:p w14:paraId="1CB87198" w14:textId="332D2790" w:rsidR="4B750326" w:rsidRDefault="4B750326" w:rsidP="55214296">
      <w:pPr>
        <w:jc w:val="both"/>
      </w:pPr>
      <w:r w:rsidRPr="55214296">
        <w:t xml:space="preserve">* On March 16, 2022, a meeting was held with federal OSHA officials, attorneys from the federal Solicitor’s Office, NCDOL OSH management, and the NCDOL General Counsel, to discuss the legal conflict regarding OSHA’s position on the enforcement of the COVID-19 log and reporting provisions of the Healthcare ETS1. Pursuant to that meeting, NCDOL made the decision to move forward with permanent rulemaking only in relation to the COVID-19 log and reporting provisions noted above. Rulemaking action will begin after the completion and approval by the Office of State Budget and Management (OSBM) of a fiscal note for the COVID-19 log and reporting provisions. Permanent rulemaking under the </w:t>
      </w:r>
      <w:r w:rsidR="168A4C0A" w:rsidRPr="55214296">
        <w:t xml:space="preserve">Administrative Procedure Act </w:t>
      </w:r>
      <w:r w:rsidRPr="55214296">
        <w:t>takes a minimum of six months to adopt a final rule; there are some statutory requirements that may result in the rulemaking process taking longer, to include possible intervening action by the North Carolina General Assembly.</w:t>
      </w:r>
    </w:p>
    <w:p w14:paraId="516B6F86" w14:textId="50877815" w:rsidR="4B750326" w:rsidRDefault="4B750326" w:rsidP="55214296">
      <w:pPr>
        <w:jc w:val="both"/>
      </w:pPr>
      <w:r w:rsidRPr="55214296">
        <w:t xml:space="preserve"> </w:t>
      </w:r>
    </w:p>
    <w:p w14:paraId="45F0A99F" w14:textId="526074AE" w:rsidR="4B750326" w:rsidRDefault="4B750326" w:rsidP="55214296">
      <w:pPr>
        <w:jc w:val="both"/>
      </w:pPr>
      <w:r w:rsidRPr="55214296">
        <w:t xml:space="preserve"> </w:t>
      </w:r>
    </w:p>
    <w:p w14:paraId="3A691A3E" w14:textId="2711733F" w:rsidR="4B750326" w:rsidRDefault="4B750326" w:rsidP="55214296">
      <w:pPr>
        <w:jc w:val="both"/>
      </w:pPr>
      <w:r w:rsidRPr="55214296">
        <w:t xml:space="preserve"> </w:t>
      </w:r>
    </w:p>
    <w:p w14:paraId="796BB57B" w14:textId="20559EFF" w:rsidR="4B750326" w:rsidRDefault="4B750326" w:rsidP="55214296">
      <w:pPr>
        <w:jc w:val="both"/>
      </w:pPr>
      <w:r w:rsidRPr="55214296">
        <w:t xml:space="preserve"> </w:t>
      </w:r>
    </w:p>
    <w:p w14:paraId="4D44D1E3" w14:textId="15F7A544" w:rsidR="4B750326" w:rsidRDefault="4B750326" w:rsidP="55214296">
      <w:pPr>
        <w:jc w:val="center"/>
      </w:pPr>
      <w:r w:rsidRPr="55214296">
        <w:rPr>
          <w:b/>
          <w:bCs/>
        </w:rPr>
        <w:t>Table B</w:t>
      </w:r>
      <w:r w:rsidRPr="55214296">
        <w:t xml:space="preserve"> </w:t>
      </w:r>
    </w:p>
    <w:p w14:paraId="07526E97" w14:textId="2B04D2F4" w:rsidR="4B750326" w:rsidRDefault="4B750326" w:rsidP="55214296">
      <w:pPr>
        <w:pStyle w:val="NoSpacing"/>
        <w:rPr>
          <w:rFonts w:ascii="Times New Roman" w:hAnsi="Times New Roman"/>
          <w:sz w:val="24"/>
          <w:szCs w:val="24"/>
        </w:rPr>
      </w:pPr>
      <w:r w:rsidRPr="55214296">
        <w:rPr>
          <w:rFonts w:ascii="Times New Roman" w:hAnsi="Times New Roman"/>
          <w:b/>
          <w:bCs/>
          <w:sz w:val="24"/>
          <w:szCs w:val="24"/>
        </w:rPr>
        <w:t>Status of FY 2022 and FY 2023 Federal Program Changes (FPCs) Where Adoption Was Required</w:t>
      </w:r>
      <w:r w:rsidRPr="55214296">
        <w:rPr>
          <w:rFonts w:ascii="Times New Roman" w:hAnsi="Times New Roman"/>
          <w:sz w:val="24"/>
          <w:szCs w:val="24"/>
        </w:rPr>
        <w:t xml:space="preserve"> </w:t>
      </w:r>
    </w:p>
    <w:tbl>
      <w:tblPr>
        <w:tblStyle w:val="TableGrid"/>
        <w:tblW w:w="0" w:type="auto"/>
        <w:tblLayout w:type="fixed"/>
        <w:tblLook w:val="06A0" w:firstRow="1" w:lastRow="0" w:firstColumn="1" w:lastColumn="0" w:noHBand="1" w:noVBand="1"/>
      </w:tblPr>
      <w:tblGrid>
        <w:gridCol w:w="2260"/>
        <w:gridCol w:w="1264"/>
        <w:gridCol w:w="1249"/>
        <w:gridCol w:w="877"/>
        <w:gridCol w:w="1308"/>
        <w:gridCol w:w="1249"/>
        <w:gridCol w:w="1963"/>
      </w:tblGrid>
      <w:tr w:rsidR="000B7AA9" w:rsidRPr="00860F33" w14:paraId="7C6D08BB" w14:textId="77777777" w:rsidTr="55214296">
        <w:trPr>
          <w:trHeight w:val="15"/>
        </w:trPr>
        <w:tc>
          <w:tcPr>
            <w:tcW w:w="2260" w:type="dxa"/>
            <w:tcBorders>
              <w:top w:val="single" w:sz="8" w:space="0" w:color="auto"/>
              <w:left w:val="single" w:sz="8" w:space="0" w:color="auto"/>
              <w:bottom w:val="single" w:sz="8" w:space="0" w:color="auto"/>
              <w:right w:val="single" w:sz="8" w:space="0" w:color="auto"/>
            </w:tcBorders>
            <w:shd w:val="clear" w:color="auto" w:fill="44546A"/>
            <w:tcMar>
              <w:left w:w="108" w:type="dxa"/>
              <w:right w:w="108" w:type="dxa"/>
            </w:tcMar>
          </w:tcPr>
          <w:p w14:paraId="696D68F0" w14:textId="573968BD" w:rsidR="000B7AA9" w:rsidRPr="00860F33" w:rsidRDefault="000B7AA9" w:rsidP="55214296">
            <w:pPr>
              <w:rPr>
                <w:rFonts w:asciiTheme="minorHAnsi" w:eastAsia="Calibri" w:hAnsiTheme="minorHAnsi" w:cstheme="minorHAnsi"/>
                <w:b/>
                <w:color w:val="FFFFFF" w:themeColor="background1"/>
              </w:rPr>
            </w:pPr>
            <w:r w:rsidRPr="55214296">
              <w:rPr>
                <w:rFonts w:eastAsia="Calibri"/>
                <w:b/>
                <w:color w:val="FFFFFF" w:themeColor="background1"/>
              </w:rPr>
              <w:t>FPC Directive/Subject</w:t>
            </w:r>
          </w:p>
        </w:tc>
        <w:tc>
          <w:tcPr>
            <w:tcW w:w="1264" w:type="dxa"/>
            <w:tcBorders>
              <w:top w:val="single" w:sz="8" w:space="0" w:color="auto"/>
              <w:left w:val="single" w:sz="8" w:space="0" w:color="auto"/>
              <w:bottom w:val="single" w:sz="8" w:space="0" w:color="auto"/>
              <w:right w:val="single" w:sz="8" w:space="0" w:color="auto"/>
            </w:tcBorders>
            <w:shd w:val="clear" w:color="auto" w:fill="44546A"/>
            <w:tcMar>
              <w:left w:w="108" w:type="dxa"/>
              <w:right w:w="108" w:type="dxa"/>
            </w:tcMar>
          </w:tcPr>
          <w:p w14:paraId="3D8D806C" w14:textId="30D8B7C5" w:rsidR="000B7AA9" w:rsidRPr="00860F33" w:rsidRDefault="000B7AA9" w:rsidP="55214296">
            <w:pPr>
              <w:rPr>
                <w:rFonts w:asciiTheme="minorHAnsi" w:eastAsia="Calibri" w:hAnsiTheme="minorHAnsi" w:cstheme="minorHAnsi"/>
                <w:b/>
                <w:color w:val="FFFFFF" w:themeColor="background1"/>
              </w:rPr>
            </w:pPr>
            <w:r w:rsidRPr="55214296">
              <w:rPr>
                <w:rFonts w:eastAsia="Calibri"/>
                <w:b/>
                <w:color w:val="FFFFFF" w:themeColor="background1"/>
              </w:rPr>
              <w:t>Response Due Date</w:t>
            </w:r>
          </w:p>
        </w:tc>
        <w:tc>
          <w:tcPr>
            <w:tcW w:w="1249" w:type="dxa"/>
            <w:tcBorders>
              <w:top w:val="single" w:sz="8" w:space="0" w:color="auto"/>
              <w:left w:val="single" w:sz="8" w:space="0" w:color="auto"/>
              <w:bottom w:val="single" w:sz="8" w:space="0" w:color="auto"/>
              <w:right w:val="single" w:sz="8" w:space="0" w:color="auto"/>
            </w:tcBorders>
            <w:shd w:val="clear" w:color="auto" w:fill="44546A"/>
            <w:tcMar>
              <w:left w:w="108" w:type="dxa"/>
              <w:right w:w="108" w:type="dxa"/>
            </w:tcMar>
          </w:tcPr>
          <w:p w14:paraId="6453713D" w14:textId="29CFEF10" w:rsidR="000B7AA9" w:rsidRPr="00860F33" w:rsidRDefault="000B7AA9" w:rsidP="55214296">
            <w:pPr>
              <w:rPr>
                <w:rFonts w:asciiTheme="minorHAnsi" w:hAnsiTheme="minorHAnsi" w:cstheme="minorHAnsi"/>
                <w:b/>
                <w:color w:val="FFFFFF" w:themeColor="background1"/>
              </w:rPr>
            </w:pPr>
            <w:r w:rsidRPr="55214296">
              <w:rPr>
                <w:rFonts w:eastAsia="Calibri"/>
                <w:b/>
                <w:color w:val="FFFFFF" w:themeColor="background1"/>
              </w:rPr>
              <w:t>State Plan Response Date</w:t>
            </w:r>
          </w:p>
        </w:tc>
        <w:tc>
          <w:tcPr>
            <w:tcW w:w="877" w:type="dxa"/>
            <w:tcBorders>
              <w:top w:val="single" w:sz="8" w:space="0" w:color="auto"/>
              <w:left w:val="single" w:sz="8" w:space="0" w:color="auto"/>
              <w:bottom w:val="single" w:sz="8" w:space="0" w:color="auto"/>
              <w:right w:val="single" w:sz="8" w:space="0" w:color="auto"/>
            </w:tcBorders>
            <w:shd w:val="clear" w:color="auto" w:fill="44546A"/>
            <w:tcMar>
              <w:left w:w="108" w:type="dxa"/>
              <w:right w:w="108" w:type="dxa"/>
            </w:tcMar>
          </w:tcPr>
          <w:p w14:paraId="02B04184" w14:textId="400E008A" w:rsidR="000B7AA9" w:rsidRPr="00860F33" w:rsidRDefault="000B7AA9" w:rsidP="55214296">
            <w:pPr>
              <w:rPr>
                <w:rFonts w:asciiTheme="minorHAnsi" w:hAnsiTheme="minorHAnsi" w:cstheme="minorHAnsi"/>
                <w:b/>
                <w:color w:val="FFFFFF" w:themeColor="background1"/>
              </w:rPr>
            </w:pPr>
            <w:r w:rsidRPr="55214296">
              <w:rPr>
                <w:rFonts w:eastAsia="Calibri"/>
                <w:b/>
                <w:color w:val="FFFFFF" w:themeColor="background1"/>
              </w:rPr>
              <w:t>Intent to Adopt</w:t>
            </w:r>
          </w:p>
        </w:tc>
        <w:tc>
          <w:tcPr>
            <w:tcW w:w="1308" w:type="dxa"/>
            <w:tcBorders>
              <w:top w:val="single" w:sz="8" w:space="0" w:color="auto"/>
              <w:left w:val="single" w:sz="8" w:space="0" w:color="auto"/>
              <w:bottom w:val="single" w:sz="8" w:space="0" w:color="auto"/>
              <w:right w:val="single" w:sz="8" w:space="0" w:color="auto"/>
            </w:tcBorders>
            <w:shd w:val="clear" w:color="auto" w:fill="44546A"/>
            <w:tcMar>
              <w:left w:w="108" w:type="dxa"/>
              <w:right w:w="108" w:type="dxa"/>
            </w:tcMar>
          </w:tcPr>
          <w:p w14:paraId="686556D8" w14:textId="559DD485" w:rsidR="000B7AA9" w:rsidRPr="00860F33" w:rsidRDefault="000B7AA9" w:rsidP="55214296">
            <w:pPr>
              <w:rPr>
                <w:rFonts w:asciiTheme="minorHAnsi" w:hAnsiTheme="minorHAnsi" w:cstheme="minorHAnsi"/>
                <w:b/>
                <w:color w:val="FFFFFF" w:themeColor="background1"/>
              </w:rPr>
            </w:pPr>
            <w:r w:rsidRPr="55214296">
              <w:rPr>
                <w:rFonts w:eastAsia="Calibri"/>
                <w:b/>
                <w:color w:val="FFFFFF" w:themeColor="background1"/>
              </w:rPr>
              <w:t xml:space="preserve">Adopt </w:t>
            </w:r>
            <w:r w:rsidRPr="00860F33">
              <w:rPr>
                <w:rFonts w:asciiTheme="minorHAnsi" w:eastAsia="Calibri" w:hAnsiTheme="minorHAnsi" w:cstheme="minorHAnsi"/>
                <w:b/>
                <w:color w:val="FFFFFF" w:themeColor="background1"/>
              </w:rPr>
              <w:t>Identical</w:t>
            </w:r>
          </w:p>
        </w:tc>
        <w:tc>
          <w:tcPr>
            <w:tcW w:w="1249" w:type="dxa"/>
            <w:tcBorders>
              <w:top w:val="single" w:sz="8" w:space="0" w:color="auto"/>
              <w:left w:val="single" w:sz="8" w:space="0" w:color="auto"/>
              <w:bottom w:val="single" w:sz="8" w:space="0" w:color="auto"/>
              <w:right w:val="single" w:sz="8" w:space="0" w:color="auto"/>
            </w:tcBorders>
            <w:shd w:val="clear" w:color="auto" w:fill="44546A"/>
            <w:tcMar>
              <w:left w:w="108" w:type="dxa"/>
              <w:right w:w="108" w:type="dxa"/>
            </w:tcMar>
          </w:tcPr>
          <w:p w14:paraId="16359A8A" w14:textId="6340D4D0" w:rsidR="000B7AA9" w:rsidRPr="00860F33" w:rsidRDefault="000B7AA9" w:rsidP="55214296">
            <w:pPr>
              <w:rPr>
                <w:rFonts w:asciiTheme="minorHAnsi" w:hAnsiTheme="minorHAnsi" w:cstheme="minorHAnsi"/>
                <w:b/>
                <w:color w:val="FFFFFF" w:themeColor="background1"/>
              </w:rPr>
            </w:pPr>
            <w:r w:rsidRPr="55214296">
              <w:rPr>
                <w:rFonts w:eastAsia="Calibri"/>
                <w:b/>
                <w:color w:val="FFFFFF" w:themeColor="background1"/>
              </w:rPr>
              <w:t>Adoption Due Date</w:t>
            </w:r>
          </w:p>
        </w:tc>
        <w:tc>
          <w:tcPr>
            <w:tcW w:w="1963" w:type="dxa"/>
            <w:tcBorders>
              <w:top w:val="single" w:sz="8" w:space="0" w:color="auto"/>
              <w:left w:val="single" w:sz="8" w:space="0" w:color="auto"/>
              <w:bottom w:val="single" w:sz="8" w:space="0" w:color="auto"/>
              <w:right w:val="single" w:sz="8" w:space="0" w:color="auto"/>
            </w:tcBorders>
            <w:shd w:val="clear" w:color="auto" w:fill="44546A"/>
            <w:tcMar>
              <w:left w:w="108" w:type="dxa"/>
              <w:right w:w="108" w:type="dxa"/>
            </w:tcMar>
          </w:tcPr>
          <w:p w14:paraId="48D80E1D" w14:textId="7A70E4ED" w:rsidR="000B7AA9" w:rsidRPr="00860F33" w:rsidRDefault="000B7AA9" w:rsidP="55214296">
            <w:pPr>
              <w:rPr>
                <w:rFonts w:asciiTheme="minorHAnsi" w:hAnsiTheme="minorHAnsi" w:cstheme="minorHAnsi"/>
                <w:b/>
                <w:color w:val="FFFFFF" w:themeColor="background1"/>
              </w:rPr>
            </w:pPr>
            <w:r w:rsidRPr="55214296">
              <w:rPr>
                <w:rFonts w:eastAsia="Calibri"/>
                <w:b/>
                <w:color w:val="FFFFFF" w:themeColor="background1"/>
              </w:rPr>
              <w:t>State Plan Adoption Date</w:t>
            </w:r>
          </w:p>
        </w:tc>
      </w:tr>
      <w:tr w:rsidR="000B7AA9" w:rsidRPr="00860F33" w14:paraId="404D892E" w14:textId="77777777" w:rsidTr="55214296">
        <w:trPr>
          <w:trHeight w:val="1230"/>
        </w:trPr>
        <w:tc>
          <w:tcPr>
            <w:tcW w:w="2260" w:type="dxa"/>
            <w:tcBorders>
              <w:top w:val="single" w:sz="8" w:space="0" w:color="auto"/>
              <w:left w:val="single" w:sz="8" w:space="0" w:color="auto"/>
              <w:bottom w:val="single" w:sz="8" w:space="0" w:color="auto"/>
              <w:right w:val="single" w:sz="8" w:space="0" w:color="auto"/>
            </w:tcBorders>
            <w:tcMar>
              <w:left w:w="108" w:type="dxa"/>
              <w:right w:w="108" w:type="dxa"/>
            </w:tcMar>
          </w:tcPr>
          <w:p w14:paraId="152D99D0" w14:textId="05AF1551" w:rsidR="000B7AA9" w:rsidRDefault="000B7AA9" w:rsidP="00A42FF4">
            <w:r w:rsidRPr="55214296">
              <w:t xml:space="preserve">Revised Combustible Dust National Emphasis Program </w:t>
            </w:r>
          </w:p>
          <w:p w14:paraId="21BCBCA6" w14:textId="353F77F5" w:rsidR="000B7AA9" w:rsidRDefault="000B7AA9" w:rsidP="00A42FF4">
            <w:r w:rsidRPr="55214296">
              <w:t>CPL 03-00-008</w:t>
            </w:r>
          </w:p>
          <w:p w14:paraId="2A41E13D" w14:textId="094F4AA5" w:rsidR="000B7AA9" w:rsidRPr="00860F33" w:rsidRDefault="000B7AA9" w:rsidP="55214296">
            <w:pPr>
              <w:rPr>
                <w:rFonts w:asciiTheme="minorHAnsi" w:hAnsiTheme="minorHAnsi" w:cstheme="minorHAnsi"/>
              </w:rPr>
            </w:pPr>
            <w:r w:rsidRPr="55214296">
              <w:t>(1/30/2023)</w:t>
            </w:r>
          </w:p>
        </w:tc>
        <w:tc>
          <w:tcPr>
            <w:tcW w:w="1264" w:type="dxa"/>
            <w:tcBorders>
              <w:top w:val="single" w:sz="8" w:space="0" w:color="auto"/>
              <w:left w:val="single" w:sz="8" w:space="0" w:color="auto"/>
              <w:bottom w:val="single" w:sz="8" w:space="0" w:color="auto"/>
              <w:right w:val="single" w:sz="8" w:space="0" w:color="auto"/>
            </w:tcBorders>
            <w:tcMar>
              <w:left w:w="108" w:type="dxa"/>
              <w:right w:w="108" w:type="dxa"/>
            </w:tcMar>
          </w:tcPr>
          <w:p w14:paraId="03ACEAEB" w14:textId="5EA0C7B2" w:rsidR="000B7AA9" w:rsidRPr="00860F33" w:rsidRDefault="000B7AA9" w:rsidP="55214296">
            <w:pPr>
              <w:rPr>
                <w:rFonts w:asciiTheme="minorHAnsi" w:hAnsiTheme="minorHAnsi" w:cstheme="minorHAnsi"/>
              </w:rPr>
            </w:pPr>
            <w:r w:rsidRPr="55214296">
              <w:t>3/31/2023</w:t>
            </w:r>
          </w:p>
        </w:tc>
        <w:tc>
          <w:tcPr>
            <w:tcW w:w="1249" w:type="dxa"/>
            <w:tcBorders>
              <w:top w:val="single" w:sz="8" w:space="0" w:color="auto"/>
              <w:left w:val="single" w:sz="8" w:space="0" w:color="auto"/>
              <w:bottom w:val="single" w:sz="8" w:space="0" w:color="auto"/>
              <w:right w:val="single" w:sz="8" w:space="0" w:color="auto"/>
            </w:tcBorders>
            <w:tcMar>
              <w:left w:w="108" w:type="dxa"/>
              <w:right w:w="108" w:type="dxa"/>
            </w:tcMar>
          </w:tcPr>
          <w:p w14:paraId="13C94A5D" w14:textId="3CF20693" w:rsidR="000B7AA9" w:rsidRPr="00860F33" w:rsidRDefault="000B7AA9" w:rsidP="55214296">
            <w:pPr>
              <w:rPr>
                <w:rFonts w:asciiTheme="minorHAnsi" w:hAnsiTheme="minorHAnsi" w:cstheme="minorHAnsi"/>
              </w:rPr>
            </w:pPr>
            <w:r w:rsidRPr="55214296">
              <w:t>3/13/2023</w:t>
            </w:r>
          </w:p>
        </w:tc>
        <w:tc>
          <w:tcPr>
            <w:tcW w:w="877" w:type="dxa"/>
            <w:tcBorders>
              <w:top w:val="single" w:sz="8" w:space="0" w:color="auto"/>
              <w:left w:val="single" w:sz="8" w:space="0" w:color="auto"/>
              <w:bottom w:val="single" w:sz="8" w:space="0" w:color="auto"/>
              <w:right w:val="single" w:sz="8" w:space="0" w:color="auto"/>
            </w:tcBorders>
            <w:tcMar>
              <w:left w:w="108" w:type="dxa"/>
              <w:right w:w="108" w:type="dxa"/>
            </w:tcMar>
          </w:tcPr>
          <w:p w14:paraId="0FF21531" w14:textId="4B8BC4A4" w:rsidR="000B7AA9" w:rsidRPr="00015DFF" w:rsidRDefault="000B7AA9" w:rsidP="55214296">
            <w:pPr>
              <w:rPr>
                <w:rFonts w:asciiTheme="minorHAnsi" w:hAnsiTheme="minorHAnsi" w:cstheme="minorHAnsi"/>
              </w:rPr>
            </w:pPr>
            <w:r w:rsidRPr="55214296">
              <w:rPr>
                <w:rFonts w:eastAsia="Calibri"/>
              </w:rPr>
              <w:t>Yes</w:t>
            </w:r>
          </w:p>
        </w:tc>
        <w:tc>
          <w:tcPr>
            <w:tcW w:w="1308" w:type="dxa"/>
            <w:tcBorders>
              <w:top w:val="single" w:sz="8" w:space="0" w:color="auto"/>
              <w:left w:val="single" w:sz="8" w:space="0" w:color="auto"/>
              <w:bottom w:val="single" w:sz="8" w:space="0" w:color="auto"/>
              <w:right w:val="single" w:sz="8" w:space="0" w:color="auto"/>
            </w:tcBorders>
            <w:tcMar>
              <w:left w:w="108" w:type="dxa"/>
              <w:right w:w="108" w:type="dxa"/>
            </w:tcMar>
          </w:tcPr>
          <w:p w14:paraId="0A1BD9CB" w14:textId="76103AE6" w:rsidR="000B7AA9" w:rsidRPr="00015DFF" w:rsidRDefault="000B7AA9" w:rsidP="55214296">
            <w:pPr>
              <w:rPr>
                <w:rFonts w:asciiTheme="minorHAnsi" w:hAnsiTheme="minorHAnsi" w:cstheme="minorHAnsi"/>
              </w:rPr>
            </w:pPr>
            <w:r w:rsidRPr="55214296">
              <w:rPr>
                <w:rFonts w:eastAsia="Calibri"/>
              </w:rPr>
              <w:t>Yes</w:t>
            </w:r>
          </w:p>
        </w:tc>
        <w:tc>
          <w:tcPr>
            <w:tcW w:w="1249" w:type="dxa"/>
            <w:tcBorders>
              <w:top w:val="single" w:sz="8" w:space="0" w:color="auto"/>
              <w:left w:val="single" w:sz="8" w:space="0" w:color="auto"/>
              <w:bottom w:val="single" w:sz="8" w:space="0" w:color="auto"/>
              <w:right w:val="single" w:sz="8" w:space="0" w:color="auto"/>
            </w:tcBorders>
            <w:tcMar>
              <w:left w:w="108" w:type="dxa"/>
              <w:right w:w="108" w:type="dxa"/>
            </w:tcMar>
          </w:tcPr>
          <w:p w14:paraId="31F4C25F" w14:textId="28B62BA6" w:rsidR="000B7AA9" w:rsidRPr="00015DFF" w:rsidRDefault="000B7AA9" w:rsidP="55214296">
            <w:pPr>
              <w:rPr>
                <w:rFonts w:asciiTheme="minorHAnsi" w:hAnsiTheme="minorHAnsi" w:cstheme="minorHAnsi"/>
              </w:rPr>
            </w:pPr>
            <w:r w:rsidRPr="55214296">
              <w:t>7/30/2023</w:t>
            </w:r>
          </w:p>
        </w:tc>
        <w:tc>
          <w:tcPr>
            <w:tcW w:w="1963" w:type="dxa"/>
            <w:tcBorders>
              <w:top w:val="single" w:sz="8" w:space="0" w:color="auto"/>
              <w:left w:val="single" w:sz="8" w:space="0" w:color="auto"/>
              <w:bottom w:val="single" w:sz="8" w:space="0" w:color="auto"/>
              <w:right w:val="single" w:sz="8" w:space="0" w:color="auto"/>
            </w:tcBorders>
            <w:tcMar>
              <w:left w:w="108" w:type="dxa"/>
              <w:right w:w="108" w:type="dxa"/>
            </w:tcMar>
          </w:tcPr>
          <w:p w14:paraId="600DC590" w14:textId="346A5238" w:rsidR="000B7AA9" w:rsidRPr="00015DFF" w:rsidRDefault="000B7AA9" w:rsidP="55214296">
            <w:pPr>
              <w:rPr>
                <w:rFonts w:asciiTheme="minorHAnsi" w:hAnsiTheme="minorHAnsi" w:cstheme="minorHAnsi"/>
              </w:rPr>
            </w:pPr>
            <w:r w:rsidRPr="55214296">
              <w:t>7/30/2023</w:t>
            </w:r>
          </w:p>
        </w:tc>
      </w:tr>
      <w:tr w:rsidR="000B7AA9" w:rsidRPr="00860F33" w14:paraId="6529E2B2" w14:textId="77777777" w:rsidTr="55214296">
        <w:trPr>
          <w:trHeight w:val="795"/>
        </w:trPr>
        <w:tc>
          <w:tcPr>
            <w:tcW w:w="2260" w:type="dxa"/>
            <w:tcBorders>
              <w:top w:val="single" w:sz="8" w:space="0" w:color="auto"/>
              <w:left w:val="single" w:sz="8" w:space="0" w:color="auto"/>
              <w:bottom w:val="single" w:sz="8" w:space="0" w:color="auto"/>
              <w:right w:val="single" w:sz="8" w:space="0" w:color="auto"/>
            </w:tcBorders>
            <w:tcMar>
              <w:left w:w="108" w:type="dxa"/>
              <w:right w:w="108" w:type="dxa"/>
            </w:tcMar>
          </w:tcPr>
          <w:p w14:paraId="3B08F1DA" w14:textId="42E555A6" w:rsidR="000B7AA9" w:rsidRDefault="000B7AA9" w:rsidP="00A42FF4">
            <w:r w:rsidRPr="55214296">
              <w:t>National Emphasis Program on Warehousing and Distribution Center Operations</w:t>
            </w:r>
          </w:p>
          <w:p w14:paraId="4B17E9D4" w14:textId="741FB383" w:rsidR="000B7AA9" w:rsidRDefault="000B7AA9" w:rsidP="00A42FF4">
            <w:r w:rsidRPr="55214296">
              <w:t>CPL 03-00-026</w:t>
            </w:r>
          </w:p>
          <w:p w14:paraId="482AF99A" w14:textId="10B309A8" w:rsidR="000B7AA9" w:rsidRPr="00860F33" w:rsidRDefault="000B7AA9" w:rsidP="55214296">
            <w:pPr>
              <w:rPr>
                <w:rFonts w:asciiTheme="minorHAnsi" w:hAnsiTheme="minorHAnsi" w:cstheme="minorHAnsi"/>
              </w:rPr>
            </w:pPr>
            <w:r w:rsidRPr="55214296">
              <w:t>(7/13/2023)</w:t>
            </w:r>
          </w:p>
        </w:tc>
        <w:tc>
          <w:tcPr>
            <w:tcW w:w="1264" w:type="dxa"/>
            <w:tcBorders>
              <w:top w:val="single" w:sz="8" w:space="0" w:color="auto"/>
              <w:left w:val="single" w:sz="8" w:space="0" w:color="auto"/>
              <w:bottom w:val="single" w:sz="8" w:space="0" w:color="auto"/>
              <w:right w:val="single" w:sz="8" w:space="0" w:color="auto"/>
            </w:tcBorders>
            <w:tcMar>
              <w:left w:w="108" w:type="dxa"/>
              <w:right w:w="108" w:type="dxa"/>
            </w:tcMar>
          </w:tcPr>
          <w:p w14:paraId="3162D8AD" w14:textId="320A8168" w:rsidR="000B7AA9" w:rsidRPr="00860F33" w:rsidRDefault="000B7AA9" w:rsidP="55214296">
            <w:pPr>
              <w:rPr>
                <w:rFonts w:asciiTheme="minorHAnsi" w:hAnsiTheme="minorHAnsi" w:cstheme="minorHAnsi"/>
              </w:rPr>
            </w:pPr>
            <w:r w:rsidRPr="55214296">
              <w:t>9/11/2023</w:t>
            </w:r>
          </w:p>
        </w:tc>
        <w:tc>
          <w:tcPr>
            <w:tcW w:w="1249" w:type="dxa"/>
            <w:tcBorders>
              <w:top w:val="single" w:sz="8" w:space="0" w:color="auto"/>
              <w:left w:val="single" w:sz="8" w:space="0" w:color="auto"/>
              <w:bottom w:val="single" w:sz="8" w:space="0" w:color="auto"/>
              <w:right w:val="single" w:sz="8" w:space="0" w:color="auto"/>
            </w:tcBorders>
            <w:tcMar>
              <w:left w:w="108" w:type="dxa"/>
              <w:right w:w="108" w:type="dxa"/>
            </w:tcMar>
          </w:tcPr>
          <w:p w14:paraId="131D7F9B" w14:textId="572F713E" w:rsidR="000B7AA9" w:rsidRPr="00860F33" w:rsidRDefault="000B7AA9" w:rsidP="55214296">
            <w:pPr>
              <w:rPr>
                <w:rFonts w:asciiTheme="minorHAnsi" w:hAnsiTheme="minorHAnsi" w:cstheme="minorHAnsi"/>
              </w:rPr>
            </w:pPr>
            <w:r w:rsidRPr="55214296">
              <w:t>9/6/2023</w:t>
            </w:r>
          </w:p>
        </w:tc>
        <w:tc>
          <w:tcPr>
            <w:tcW w:w="877" w:type="dxa"/>
            <w:tcBorders>
              <w:top w:val="single" w:sz="8" w:space="0" w:color="auto"/>
              <w:left w:val="single" w:sz="8" w:space="0" w:color="auto"/>
              <w:bottom w:val="single" w:sz="8" w:space="0" w:color="auto"/>
              <w:right w:val="single" w:sz="8" w:space="0" w:color="auto"/>
            </w:tcBorders>
            <w:tcMar>
              <w:left w:w="108" w:type="dxa"/>
              <w:right w:w="108" w:type="dxa"/>
            </w:tcMar>
          </w:tcPr>
          <w:p w14:paraId="78D7325E" w14:textId="1E70F235" w:rsidR="000B7AA9" w:rsidRPr="00015DFF" w:rsidRDefault="000B7AA9" w:rsidP="55214296">
            <w:pPr>
              <w:rPr>
                <w:rFonts w:asciiTheme="minorHAnsi" w:hAnsiTheme="minorHAnsi" w:cstheme="minorHAnsi"/>
              </w:rPr>
            </w:pPr>
            <w:r w:rsidRPr="55214296">
              <w:rPr>
                <w:rFonts w:eastAsia="Calibri"/>
              </w:rPr>
              <w:t>Yes</w:t>
            </w:r>
          </w:p>
        </w:tc>
        <w:tc>
          <w:tcPr>
            <w:tcW w:w="1308" w:type="dxa"/>
            <w:tcBorders>
              <w:top w:val="single" w:sz="8" w:space="0" w:color="auto"/>
              <w:left w:val="single" w:sz="8" w:space="0" w:color="auto"/>
              <w:bottom w:val="single" w:sz="8" w:space="0" w:color="auto"/>
              <w:right w:val="single" w:sz="8" w:space="0" w:color="auto"/>
            </w:tcBorders>
            <w:tcMar>
              <w:left w:w="108" w:type="dxa"/>
              <w:right w:w="108" w:type="dxa"/>
            </w:tcMar>
          </w:tcPr>
          <w:p w14:paraId="67C1EA8F" w14:textId="5D7EA82C" w:rsidR="000B7AA9" w:rsidRDefault="000B7AA9" w:rsidP="55214296">
            <w:pPr>
              <w:rPr>
                <w:rFonts w:asciiTheme="minorHAnsi" w:hAnsiTheme="minorHAnsi" w:cstheme="minorHAnsi"/>
              </w:rPr>
            </w:pPr>
            <w:r w:rsidRPr="55214296">
              <w:t>No</w:t>
            </w:r>
          </w:p>
          <w:p w14:paraId="0BCA62CF" w14:textId="0DC27977" w:rsidR="000B7AA9" w:rsidRPr="00015DFF" w:rsidRDefault="000B7AA9" w:rsidP="55214296">
            <w:pPr>
              <w:rPr>
                <w:rFonts w:asciiTheme="minorHAnsi" w:hAnsiTheme="minorHAnsi" w:cstheme="minorHAnsi"/>
              </w:rPr>
            </w:pPr>
            <w:r w:rsidRPr="55214296">
              <w:t xml:space="preserve">(current OPN 145 is equivalent) </w:t>
            </w:r>
          </w:p>
        </w:tc>
        <w:tc>
          <w:tcPr>
            <w:tcW w:w="1249" w:type="dxa"/>
            <w:tcBorders>
              <w:top w:val="single" w:sz="8" w:space="0" w:color="auto"/>
              <w:left w:val="single" w:sz="8" w:space="0" w:color="auto"/>
              <w:bottom w:val="single" w:sz="8" w:space="0" w:color="auto"/>
              <w:right w:val="single" w:sz="8" w:space="0" w:color="auto"/>
            </w:tcBorders>
            <w:tcMar>
              <w:left w:w="108" w:type="dxa"/>
              <w:right w:w="108" w:type="dxa"/>
            </w:tcMar>
          </w:tcPr>
          <w:p w14:paraId="063ACE9E" w14:textId="199B29A1" w:rsidR="000B7AA9" w:rsidRPr="00015DFF" w:rsidRDefault="000B7AA9" w:rsidP="55214296">
            <w:pPr>
              <w:rPr>
                <w:rFonts w:asciiTheme="minorHAnsi" w:hAnsiTheme="minorHAnsi" w:cstheme="minorHAnsi"/>
              </w:rPr>
            </w:pPr>
            <w:r w:rsidRPr="55214296">
              <w:t>1/9/2024</w:t>
            </w:r>
          </w:p>
        </w:tc>
        <w:tc>
          <w:tcPr>
            <w:tcW w:w="1963" w:type="dxa"/>
            <w:tcBorders>
              <w:top w:val="single" w:sz="8" w:space="0" w:color="auto"/>
              <w:left w:val="single" w:sz="8" w:space="0" w:color="auto"/>
              <w:bottom w:val="single" w:sz="8" w:space="0" w:color="auto"/>
              <w:right w:val="single" w:sz="8" w:space="0" w:color="auto"/>
            </w:tcBorders>
            <w:tcMar>
              <w:left w:w="108" w:type="dxa"/>
              <w:right w:w="108" w:type="dxa"/>
            </w:tcMar>
          </w:tcPr>
          <w:p w14:paraId="7241E0DB" w14:textId="74B2514F" w:rsidR="000B7AA9" w:rsidRPr="00015DFF" w:rsidRDefault="000B7AA9" w:rsidP="55214296">
            <w:pPr>
              <w:rPr>
                <w:rFonts w:asciiTheme="minorHAnsi" w:hAnsiTheme="minorHAnsi" w:cstheme="minorHAnsi"/>
              </w:rPr>
            </w:pPr>
            <w:r w:rsidRPr="55214296">
              <w:t>9/26/2023</w:t>
            </w:r>
          </w:p>
        </w:tc>
      </w:tr>
    </w:tbl>
    <w:p w14:paraId="321E2CAF" w14:textId="3757201D" w:rsidR="4B750326" w:rsidRDefault="4B750326" w:rsidP="55214296">
      <w:pPr>
        <w:tabs>
          <w:tab w:val="left" w:pos="0"/>
          <w:tab w:val="left" w:pos="1440"/>
        </w:tabs>
        <w:jc w:val="both"/>
      </w:pPr>
      <w:r w:rsidRPr="55214296">
        <w:t xml:space="preserve"> </w:t>
      </w:r>
    </w:p>
    <w:p w14:paraId="55FD330C" w14:textId="66198F90" w:rsidR="4B750326" w:rsidRDefault="4B750326" w:rsidP="55214296">
      <w:pPr>
        <w:tabs>
          <w:tab w:val="left" w:pos="0"/>
          <w:tab w:val="left" w:pos="1440"/>
        </w:tabs>
        <w:jc w:val="both"/>
      </w:pPr>
      <w:r w:rsidRPr="55214296">
        <w:t xml:space="preserve"> </w:t>
      </w:r>
    </w:p>
    <w:p w14:paraId="22392F60" w14:textId="137EA82C" w:rsidR="000B7AA9" w:rsidRPr="00860F33" w:rsidRDefault="000B7AA9" w:rsidP="55214296">
      <w:pPr>
        <w:jc w:val="center"/>
        <w:rPr>
          <w:rFonts w:asciiTheme="minorHAnsi" w:hAnsiTheme="minorHAnsi" w:cstheme="minorHAnsi"/>
          <w:b/>
        </w:rPr>
      </w:pPr>
      <w:r w:rsidRPr="55214296">
        <w:rPr>
          <w:b/>
        </w:rPr>
        <w:t>Table C</w:t>
      </w:r>
    </w:p>
    <w:p w14:paraId="7025310E" w14:textId="616CDC87" w:rsidR="000B7AA9" w:rsidRDefault="000B7AA9" w:rsidP="55214296">
      <w:pPr>
        <w:jc w:val="center"/>
        <w:rPr>
          <w:rFonts w:asciiTheme="minorHAnsi" w:hAnsiTheme="minorHAnsi" w:cstheme="minorHAnsi"/>
          <w:b/>
          <w:bCs/>
        </w:rPr>
      </w:pPr>
      <w:r w:rsidRPr="55214296">
        <w:rPr>
          <w:b/>
        </w:rPr>
        <w:t>Status of FY 2022 and FY 2023 Federal Program Changes (FPCs) Where Equivalency Was Required</w:t>
      </w:r>
    </w:p>
    <w:p w14:paraId="52A8789F" w14:textId="042693CC" w:rsidR="4B750326" w:rsidRDefault="4B750326" w:rsidP="55214296">
      <w:pPr>
        <w:tabs>
          <w:tab w:val="left" w:pos="0"/>
          <w:tab w:val="left" w:pos="1440"/>
        </w:tabs>
        <w:jc w:val="center"/>
      </w:pPr>
      <w:r w:rsidRPr="55214296">
        <w:t>(May include any delinquent FPCs from earlier fiscal years)</w:t>
      </w:r>
    </w:p>
    <w:tbl>
      <w:tblPr>
        <w:tblStyle w:val="TableGrid"/>
        <w:tblW w:w="0" w:type="auto"/>
        <w:tblLayout w:type="fixed"/>
        <w:tblLook w:val="06A0" w:firstRow="1" w:lastRow="0" w:firstColumn="1" w:lastColumn="0" w:noHBand="1" w:noVBand="1"/>
      </w:tblPr>
      <w:tblGrid>
        <w:gridCol w:w="2598"/>
        <w:gridCol w:w="1307"/>
        <w:gridCol w:w="1262"/>
        <w:gridCol w:w="1010"/>
        <w:gridCol w:w="1099"/>
        <w:gridCol w:w="1292"/>
        <w:gridCol w:w="1603"/>
      </w:tblGrid>
      <w:tr w:rsidR="55214296" w14:paraId="42A0F36A" w14:textId="77777777" w:rsidTr="55214296">
        <w:trPr>
          <w:trHeight w:val="15"/>
        </w:trPr>
        <w:tc>
          <w:tcPr>
            <w:tcW w:w="2598" w:type="dxa"/>
            <w:tcBorders>
              <w:top w:val="single" w:sz="8" w:space="0" w:color="auto"/>
              <w:left w:val="single" w:sz="8" w:space="0" w:color="auto"/>
              <w:bottom w:val="single" w:sz="8" w:space="0" w:color="auto"/>
              <w:right w:val="single" w:sz="8" w:space="0" w:color="auto"/>
            </w:tcBorders>
            <w:shd w:val="clear" w:color="auto" w:fill="44546A"/>
            <w:tcMar>
              <w:left w:w="108" w:type="dxa"/>
              <w:right w:w="108" w:type="dxa"/>
            </w:tcMar>
          </w:tcPr>
          <w:p w14:paraId="4DAF1488" w14:textId="46D57542" w:rsidR="55214296" w:rsidRDefault="55214296" w:rsidP="55214296">
            <w:pPr>
              <w:rPr>
                <w:b/>
                <w:bCs/>
                <w:color w:val="FFFFFF" w:themeColor="background1"/>
              </w:rPr>
            </w:pPr>
            <w:r w:rsidRPr="55214296">
              <w:rPr>
                <w:b/>
                <w:bCs/>
                <w:color w:val="FFFFFF" w:themeColor="background1"/>
              </w:rPr>
              <w:t>FPC Directive/Subject</w:t>
            </w:r>
          </w:p>
        </w:tc>
        <w:tc>
          <w:tcPr>
            <w:tcW w:w="1307" w:type="dxa"/>
            <w:tcBorders>
              <w:top w:val="single" w:sz="8" w:space="0" w:color="auto"/>
              <w:left w:val="single" w:sz="8" w:space="0" w:color="auto"/>
              <w:bottom w:val="single" w:sz="8" w:space="0" w:color="auto"/>
              <w:right w:val="single" w:sz="8" w:space="0" w:color="auto"/>
            </w:tcBorders>
            <w:shd w:val="clear" w:color="auto" w:fill="44546A"/>
            <w:tcMar>
              <w:left w:w="108" w:type="dxa"/>
              <w:right w:w="108" w:type="dxa"/>
            </w:tcMar>
          </w:tcPr>
          <w:p w14:paraId="51552EEF" w14:textId="3639A3B5" w:rsidR="55214296" w:rsidRDefault="55214296" w:rsidP="55214296">
            <w:pPr>
              <w:rPr>
                <w:b/>
                <w:bCs/>
                <w:color w:val="FFFFFF" w:themeColor="background1"/>
              </w:rPr>
            </w:pPr>
            <w:r w:rsidRPr="55214296">
              <w:rPr>
                <w:b/>
                <w:bCs/>
                <w:color w:val="FFFFFF" w:themeColor="background1"/>
              </w:rPr>
              <w:t>Response Due Date</w:t>
            </w:r>
          </w:p>
        </w:tc>
        <w:tc>
          <w:tcPr>
            <w:tcW w:w="1262" w:type="dxa"/>
            <w:tcBorders>
              <w:top w:val="single" w:sz="8" w:space="0" w:color="auto"/>
              <w:left w:val="single" w:sz="8" w:space="0" w:color="auto"/>
              <w:bottom w:val="single" w:sz="8" w:space="0" w:color="auto"/>
              <w:right w:val="single" w:sz="8" w:space="0" w:color="auto"/>
            </w:tcBorders>
            <w:shd w:val="clear" w:color="auto" w:fill="44546A"/>
            <w:tcMar>
              <w:left w:w="108" w:type="dxa"/>
              <w:right w:w="108" w:type="dxa"/>
            </w:tcMar>
          </w:tcPr>
          <w:p w14:paraId="35223BDF" w14:textId="1F9916C5" w:rsidR="55214296" w:rsidRDefault="55214296" w:rsidP="55214296">
            <w:pPr>
              <w:rPr>
                <w:b/>
                <w:bCs/>
                <w:color w:val="FFFFFF" w:themeColor="background1"/>
              </w:rPr>
            </w:pPr>
            <w:r w:rsidRPr="55214296">
              <w:rPr>
                <w:b/>
                <w:bCs/>
                <w:color w:val="FFFFFF" w:themeColor="background1"/>
              </w:rPr>
              <w:t>State Plan Response Date</w:t>
            </w:r>
          </w:p>
        </w:tc>
        <w:tc>
          <w:tcPr>
            <w:tcW w:w="1010" w:type="dxa"/>
            <w:tcBorders>
              <w:top w:val="single" w:sz="8" w:space="0" w:color="auto"/>
              <w:left w:val="single" w:sz="8" w:space="0" w:color="auto"/>
              <w:bottom w:val="single" w:sz="8" w:space="0" w:color="auto"/>
              <w:right w:val="single" w:sz="8" w:space="0" w:color="auto"/>
            </w:tcBorders>
            <w:shd w:val="clear" w:color="auto" w:fill="44546A"/>
            <w:tcMar>
              <w:left w:w="108" w:type="dxa"/>
              <w:right w:w="108" w:type="dxa"/>
            </w:tcMar>
          </w:tcPr>
          <w:p w14:paraId="16D37B35" w14:textId="3D956C19" w:rsidR="55214296" w:rsidRDefault="55214296" w:rsidP="55214296">
            <w:pPr>
              <w:rPr>
                <w:b/>
                <w:bCs/>
                <w:color w:val="FFFFFF" w:themeColor="background1"/>
              </w:rPr>
            </w:pPr>
            <w:r w:rsidRPr="55214296">
              <w:rPr>
                <w:b/>
                <w:bCs/>
                <w:color w:val="FFFFFF" w:themeColor="background1"/>
              </w:rPr>
              <w:t>Intent to Adopt</w:t>
            </w:r>
          </w:p>
        </w:tc>
        <w:tc>
          <w:tcPr>
            <w:tcW w:w="1099" w:type="dxa"/>
            <w:tcBorders>
              <w:top w:val="single" w:sz="8" w:space="0" w:color="auto"/>
              <w:left w:val="single" w:sz="8" w:space="0" w:color="auto"/>
              <w:bottom w:val="single" w:sz="8" w:space="0" w:color="auto"/>
              <w:right w:val="single" w:sz="8" w:space="0" w:color="auto"/>
            </w:tcBorders>
            <w:shd w:val="clear" w:color="auto" w:fill="44546A"/>
            <w:tcMar>
              <w:left w:w="108" w:type="dxa"/>
              <w:right w:w="108" w:type="dxa"/>
            </w:tcMar>
          </w:tcPr>
          <w:p w14:paraId="02217E51" w14:textId="0EE5A624" w:rsidR="55214296" w:rsidRDefault="55214296" w:rsidP="55214296">
            <w:pPr>
              <w:rPr>
                <w:b/>
                <w:bCs/>
                <w:color w:val="FFFFFF" w:themeColor="background1"/>
              </w:rPr>
            </w:pPr>
            <w:r w:rsidRPr="55214296">
              <w:rPr>
                <w:b/>
                <w:bCs/>
                <w:color w:val="FFFFFF" w:themeColor="background1"/>
              </w:rPr>
              <w:t>Adopt Identical</w:t>
            </w:r>
          </w:p>
        </w:tc>
        <w:tc>
          <w:tcPr>
            <w:tcW w:w="1292" w:type="dxa"/>
            <w:tcBorders>
              <w:top w:val="single" w:sz="8" w:space="0" w:color="auto"/>
              <w:left w:val="single" w:sz="8" w:space="0" w:color="auto"/>
              <w:bottom w:val="single" w:sz="8" w:space="0" w:color="auto"/>
              <w:right w:val="single" w:sz="8" w:space="0" w:color="auto"/>
            </w:tcBorders>
            <w:shd w:val="clear" w:color="auto" w:fill="44546A"/>
            <w:tcMar>
              <w:left w:w="108" w:type="dxa"/>
              <w:right w:w="108" w:type="dxa"/>
            </w:tcMar>
          </w:tcPr>
          <w:p w14:paraId="3581B512" w14:textId="590FB8BD" w:rsidR="55214296" w:rsidRDefault="55214296" w:rsidP="55214296">
            <w:pPr>
              <w:rPr>
                <w:b/>
                <w:bCs/>
                <w:color w:val="FFFFFF" w:themeColor="background1"/>
              </w:rPr>
            </w:pPr>
            <w:r w:rsidRPr="55214296">
              <w:rPr>
                <w:b/>
                <w:bCs/>
                <w:color w:val="FFFFFF" w:themeColor="background1"/>
              </w:rPr>
              <w:t>Adoption Due Date</w:t>
            </w:r>
          </w:p>
        </w:tc>
        <w:tc>
          <w:tcPr>
            <w:tcW w:w="1603" w:type="dxa"/>
            <w:tcBorders>
              <w:top w:val="single" w:sz="8" w:space="0" w:color="auto"/>
              <w:left w:val="single" w:sz="8" w:space="0" w:color="auto"/>
              <w:bottom w:val="single" w:sz="8" w:space="0" w:color="auto"/>
              <w:right w:val="single" w:sz="8" w:space="0" w:color="auto"/>
            </w:tcBorders>
            <w:shd w:val="clear" w:color="auto" w:fill="44546A"/>
            <w:tcMar>
              <w:left w:w="108" w:type="dxa"/>
              <w:right w:w="108" w:type="dxa"/>
            </w:tcMar>
          </w:tcPr>
          <w:p w14:paraId="46E0F438" w14:textId="0909F14F" w:rsidR="55214296" w:rsidRDefault="55214296" w:rsidP="55214296">
            <w:pPr>
              <w:rPr>
                <w:b/>
                <w:bCs/>
                <w:color w:val="FFFFFF" w:themeColor="background1"/>
              </w:rPr>
            </w:pPr>
            <w:r w:rsidRPr="55214296">
              <w:rPr>
                <w:b/>
                <w:bCs/>
                <w:color w:val="FFFFFF" w:themeColor="background1"/>
              </w:rPr>
              <w:t>State Plan Adoption Date</w:t>
            </w:r>
          </w:p>
        </w:tc>
      </w:tr>
      <w:tr w:rsidR="55214296" w14:paraId="42272309" w14:textId="77777777" w:rsidTr="55214296">
        <w:trPr>
          <w:trHeight w:val="300"/>
        </w:trPr>
        <w:tc>
          <w:tcPr>
            <w:tcW w:w="2598" w:type="dxa"/>
            <w:tcBorders>
              <w:top w:val="single" w:sz="8" w:space="0" w:color="auto"/>
              <w:left w:val="single" w:sz="8" w:space="0" w:color="auto"/>
              <w:bottom w:val="single" w:sz="8" w:space="0" w:color="auto"/>
              <w:right w:val="single" w:sz="8" w:space="0" w:color="auto"/>
            </w:tcBorders>
            <w:tcMar>
              <w:left w:w="108" w:type="dxa"/>
              <w:right w:w="108" w:type="dxa"/>
            </w:tcMar>
          </w:tcPr>
          <w:p w14:paraId="16B83F8D" w14:textId="154772B3" w:rsidR="55214296" w:rsidRDefault="55214296" w:rsidP="55214296">
            <w:r w:rsidRPr="55214296">
              <w:lastRenderedPageBreak/>
              <w:t>Compliance Directive for Cranes and Derricks in Construction Standard</w:t>
            </w:r>
          </w:p>
          <w:p w14:paraId="0CDDD5AD" w14:textId="5CB2E095" w:rsidR="55214296" w:rsidRDefault="55214296" w:rsidP="55214296">
            <w:r w:rsidRPr="55214296">
              <w:t>CPL 02-01-063</w:t>
            </w:r>
          </w:p>
          <w:p w14:paraId="6EE77FC9" w14:textId="76B6EBDF" w:rsidR="55214296" w:rsidRDefault="55214296" w:rsidP="55214296">
            <w:r w:rsidRPr="55214296">
              <w:t>(2/11/2022)</w:t>
            </w:r>
          </w:p>
        </w:tc>
        <w:tc>
          <w:tcPr>
            <w:tcW w:w="1307" w:type="dxa"/>
            <w:tcBorders>
              <w:top w:val="single" w:sz="8" w:space="0" w:color="auto"/>
              <w:left w:val="single" w:sz="8" w:space="0" w:color="auto"/>
              <w:bottom w:val="single" w:sz="8" w:space="0" w:color="auto"/>
              <w:right w:val="single" w:sz="8" w:space="0" w:color="auto"/>
            </w:tcBorders>
            <w:tcMar>
              <w:left w:w="108" w:type="dxa"/>
              <w:right w:w="108" w:type="dxa"/>
            </w:tcMar>
          </w:tcPr>
          <w:p w14:paraId="46DFB8AF" w14:textId="69575E95" w:rsidR="55214296" w:rsidRDefault="55214296" w:rsidP="55214296">
            <w:r w:rsidRPr="55214296">
              <w:t>7/3/2022</w:t>
            </w:r>
          </w:p>
        </w:tc>
        <w:tc>
          <w:tcPr>
            <w:tcW w:w="1262" w:type="dxa"/>
            <w:tcBorders>
              <w:top w:val="single" w:sz="8" w:space="0" w:color="auto"/>
              <w:left w:val="single" w:sz="8" w:space="0" w:color="auto"/>
              <w:bottom w:val="single" w:sz="8" w:space="0" w:color="auto"/>
              <w:right w:val="single" w:sz="8" w:space="0" w:color="auto"/>
            </w:tcBorders>
            <w:tcMar>
              <w:left w:w="108" w:type="dxa"/>
              <w:right w:w="108" w:type="dxa"/>
            </w:tcMar>
          </w:tcPr>
          <w:p w14:paraId="7218DE13" w14:textId="35FC9031" w:rsidR="55214296" w:rsidRDefault="55214296" w:rsidP="55214296">
            <w:r w:rsidRPr="55214296">
              <w:t>6/30/2022</w:t>
            </w:r>
          </w:p>
        </w:tc>
        <w:tc>
          <w:tcPr>
            <w:tcW w:w="1010" w:type="dxa"/>
            <w:tcBorders>
              <w:top w:val="single" w:sz="8" w:space="0" w:color="auto"/>
              <w:left w:val="single" w:sz="8" w:space="0" w:color="auto"/>
              <w:bottom w:val="single" w:sz="8" w:space="0" w:color="auto"/>
              <w:right w:val="single" w:sz="8" w:space="0" w:color="auto"/>
            </w:tcBorders>
            <w:tcMar>
              <w:left w:w="108" w:type="dxa"/>
              <w:right w:w="108" w:type="dxa"/>
            </w:tcMar>
          </w:tcPr>
          <w:p w14:paraId="5629092C" w14:textId="55ECDF5F" w:rsidR="55214296" w:rsidRDefault="55214296" w:rsidP="55214296">
            <w:r w:rsidRPr="55214296">
              <w:t>Yes</w:t>
            </w:r>
          </w:p>
        </w:tc>
        <w:tc>
          <w:tcPr>
            <w:tcW w:w="1099" w:type="dxa"/>
            <w:tcBorders>
              <w:top w:val="single" w:sz="8" w:space="0" w:color="auto"/>
              <w:left w:val="single" w:sz="8" w:space="0" w:color="auto"/>
              <w:bottom w:val="single" w:sz="8" w:space="0" w:color="auto"/>
              <w:right w:val="single" w:sz="8" w:space="0" w:color="auto"/>
            </w:tcBorders>
            <w:tcMar>
              <w:left w:w="108" w:type="dxa"/>
              <w:right w:w="108" w:type="dxa"/>
            </w:tcMar>
          </w:tcPr>
          <w:p w14:paraId="74C01530" w14:textId="2481CDFB" w:rsidR="55214296" w:rsidRDefault="55214296" w:rsidP="55214296">
            <w:r w:rsidRPr="55214296">
              <w:t>Yes</w:t>
            </w:r>
          </w:p>
        </w:tc>
        <w:tc>
          <w:tcPr>
            <w:tcW w:w="1292" w:type="dxa"/>
            <w:tcBorders>
              <w:top w:val="single" w:sz="8" w:space="0" w:color="auto"/>
              <w:left w:val="single" w:sz="8" w:space="0" w:color="auto"/>
              <w:bottom w:val="single" w:sz="8" w:space="0" w:color="auto"/>
              <w:right w:val="single" w:sz="8" w:space="0" w:color="auto"/>
            </w:tcBorders>
            <w:tcMar>
              <w:left w:w="108" w:type="dxa"/>
              <w:right w:w="108" w:type="dxa"/>
            </w:tcMar>
          </w:tcPr>
          <w:p w14:paraId="40FAA152" w14:textId="048B679C" w:rsidR="55214296" w:rsidRDefault="55214296" w:rsidP="55214296">
            <w:r w:rsidRPr="55214296">
              <w:t>11/3/2022</w:t>
            </w:r>
          </w:p>
        </w:tc>
        <w:tc>
          <w:tcPr>
            <w:tcW w:w="1603" w:type="dxa"/>
            <w:tcBorders>
              <w:top w:val="single" w:sz="8" w:space="0" w:color="auto"/>
              <w:left w:val="single" w:sz="8" w:space="0" w:color="auto"/>
              <w:bottom w:val="single" w:sz="8" w:space="0" w:color="auto"/>
              <w:right w:val="single" w:sz="8" w:space="0" w:color="auto"/>
            </w:tcBorders>
            <w:tcMar>
              <w:left w:w="108" w:type="dxa"/>
              <w:right w:w="108" w:type="dxa"/>
            </w:tcMar>
          </w:tcPr>
          <w:p w14:paraId="65D35B4F" w14:textId="309EF052" w:rsidR="55214296" w:rsidRDefault="55214296" w:rsidP="55214296">
            <w:r w:rsidRPr="55214296">
              <w:t>11/03/2022</w:t>
            </w:r>
          </w:p>
        </w:tc>
      </w:tr>
      <w:tr w:rsidR="55214296" w14:paraId="5B42B0B7" w14:textId="77777777" w:rsidTr="55214296">
        <w:trPr>
          <w:trHeight w:val="300"/>
        </w:trPr>
        <w:tc>
          <w:tcPr>
            <w:tcW w:w="2598" w:type="dxa"/>
            <w:tcBorders>
              <w:top w:val="single" w:sz="8" w:space="0" w:color="auto"/>
              <w:left w:val="single" w:sz="8" w:space="0" w:color="auto"/>
              <w:bottom w:val="single" w:sz="8" w:space="0" w:color="auto"/>
              <w:right w:val="single" w:sz="8" w:space="0" w:color="auto"/>
            </w:tcBorders>
            <w:tcMar>
              <w:left w:w="108" w:type="dxa"/>
              <w:right w:w="108" w:type="dxa"/>
            </w:tcMar>
          </w:tcPr>
          <w:p w14:paraId="2548D2AB" w14:textId="48E5DDFA" w:rsidR="55214296" w:rsidRDefault="55214296" w:rsidP="55214296">
            <w:r w:rsidRPr="55214296">
              <w:t>OSHA Whistleblower Investigations Manual</w:t>
            </w:r>
          </w:p>
          <w:p w14:paraId="34ADA44A" w14:textId="2FD15683" w:rsidR="55214296" w:rsidRDefault="55214296" w:rsidP="55214296">
            <w:r w:rsidRPr="55214296">
              <w:t>CPL 02-03-011</w:t>
            </w:r>
          </w:p>
          <w:p w14:paraId="029D6EB8" w14:textId="2CB256F4" w:rsidR="55214296" w:rsidRDefault="55214296" w:rsidP="55214296">
            <w:r w:rsidRPr="55214296">
              <w:t>(4/29/2022)</w:t>
            </w:r>
          </w:p>
        </w:tc>
        <w:tc>
          <w:tcPr>
            <w:tcW w:w="1307" w:type="dxa"/>
            <w:tcBorders>
              <w:top w:val="single" w:sz="8" w:space="0" w:color="auto"/>
              <w:left w:val="single" w:sz="8" w:space="0" w:color="auto"/>
              <w:bottom w:val="single" w:sz="8" w:space="0" w:color="auto"/>
              <w:right w:val="single" w:sz="8" w:space="0" w:color="auto"/>
            </w:tcBorders>
            <w:tcMar>
              <w:left w:w="108" w:type="dxa"/>
              <w:right w:w="108" w:type="dxa"/>
            </w:tcMar>
          </w:tcPr>
          <w:p w14:paraId="0AE3EB9B" w14:textId="018D7B45" w:rsidR="55214296" w:rsidRDefault="55214296" w:rsidP="55214296">
            <w:r w:rsidRPr="55214296">
              <w:t>10/11/2022</w:t>
            </w:r>
          </w:p>
        </w:tc>
        <w:tc>
          <w:tcPr>
            <w:tcW w:w="1262" w:type="dxa"/>
            <w:tcBorders>
              <w:top w:val="single" w:sz="8" w:space="0" w:color="auto"/>
              <w:left w:val="single" w:sz="8" w:space="0" w:color="auto"/>
              <w:bottom w:val="single" w:sz="8" w:space="0" w:color="auto"/>
              <w:right w:val="single" w:sz="8" w:space="0" w:color="auto"/>
            </w:tcBorders>
            <w:tcMar>
              <w:left w:w="108" w:type="dxa"/>
              <w:right w:w="108" w:type="dxa"/>
            </w:tcMar>
          </w:tcPr>
          <w:p w14:paraId="22AE2A63" w14:textId="52D81CF2" w:rsidR="55214296" w:rsidRDefault="55214296" w:rsidP="55214296">
            <w:r w:rsidRPr="55214296">
              <w:t>10/11/2022</w:t>
            </w:r>
          </w:p>
        </w:tc>
        <w:tc>
          <w:tcPr>
            <w:tcW w:w="1010" w:type="dxa"/>
            <w:tcBorders>
              <w:top w:val="single" w:sz="8" w:space="0" w:color="auto"/>
              <w:left w:val="single" w:sz="8" w:space="0" w:color="auto"/>
              <w:bottom w:val="single" w:sz="8" w:space="0" w:color="auto"/>
              <w:right w:val="single" w:sz="8" w:space="0" w:color="auto"/>
            </w:tcBorders>
            <w:tcMar>
              <w:left w:w="108" w:type="dxa"/>
              <w:right w:w="108" w:type="dxa"/>
            </w:tcMar>
          </w:tcPr>
          <w:p w14:paraId="52D5C579" w14:textId="4B8165C1" w:rsidR="55214296" w:rsidRDefault="55214296" w:rsidP="55214296">
            <w:r w:rsidRPr="55214296">
              <w:t>Yes</w:t>
            </w:r>
          </w:p>
        </w:tc>
        <w:tc>
          <w:tcPr>
            <w:tcW w:w="1099" w:type="dxa"/>
            <w:tcBorders>
              <w:top w:val="single" w:sz="8" w:space="0" w:color="auto"/>
              <w:left w:val="single" w:sz="8" w:space="0" w:color="auto"/>
              <w:bottom w:val="single" w:sz="8" w:space="0" w:color="auto"/>
              <w:right w:val="single" w:sz="8" w:space="0" w:color="auto"/>
            </w:tcBorders>
            <w:tcMar>
              <w:left w:w="108" w:type="dxa"/>
              <w:right w:w="108" w:type="dxa"/>
            </w:tcMar>
          </w:tcPr>
          <w:p w14:paraId="6F1140B3" w14:textId="0DCF6A02" w:rsidR="55214296" w:rsidRDefault="55214296" w:rsidP="55214296">
            <w:r w:rsidRPr="55214296">
              <w:t>No</w:t>
            </w:r>
          </w:p>
        </w:tc>
        <w:tc>
          <w:tcPr>
            <w:tcW w:w="1292" w:type="dxa"/>
            <w:tcBorders>
              <w:top w:val="single" w:sz="8" w:space="0" w:color="auto"/>
              <w:left w:val="single" w:sz="8" w:space="0" w:color="auto"/>
              <w:bottom w:val="single" w:sz="8" w:space="0" w:color="auto"/>
              <w:right w:val="single" w:sz="8" w:space="0" w:color="auto"/>
            </w:tcBorders>
            <w:tcMar>
              <w:left w:w="108" w:type="dxa"/>
              <w:right w:w="108" w:type="dxa"/>
            </w:tcMar>
          </w:tcPr>
          <w:p w14:paraId="33A91D02" w14:textId="2AE0567B" w:rsidR="55214296" w:rsidRDefault="55214296" w:rsidP="55214296">
            <w:r w:rsidRPr="55214296">
              <w:t>2/11/2023</w:t>
            </w:r>
          </w:p>
        </w:tc>
        <w:tc>
          <w:tcPr>
            <w:tcW w:w="1603" w:type="dxa"/>
            <w:tcBorders>
              <w:top w:val="single" w:sz="8" w:space="0" w:color="auto"/>
              <w:left w:val="single" w:sz="8" w:space="0" w:color="auto"/>
              <w:bottom w:val="single" w:sz="8" w:space="0" w:color="auto"/>
              <w:right w:val="single" w:sz="8" w:space="0" w:color="auto"/>
            </w:tcBorders>
            <w:tcMar>
              <w:left w:w="108" w:type="dxa"/>
              <w:right w:w="108" w:type="dxa"/>
            </w:tcMar>
          </w:tcPr>
          <w:p w14:paraId="0C756AB4" w14:textId="794ADDD4" w:rsidR="55214296" w:rsidRDefault="55214296" w:rsidP="55214296">
            <w:r w:rsidRPr="55214296">
              <w:t>2/11/2023</w:t>
            </w:r>
          </w:p>
        </w:tc>
      </w:tr>
      <w:tr w:rsidR="55214296" w14:paraId="7BA72FC5" w14:textId="77777777" w:rsidTr="55214296">
        <w:trPr>
          <w:trHeight w:val="300"/>
        </w:trPr>
        <w:tc>
          <w:tcPr>
            <w:tcW w:w="2598" w:type="dxa"/>
            <w:tcBorders>
              <w:top w:val="single" w:sz="8" w:space="0" w:color="auto"/>
              <w:left w:val="single" w:sz="8" w:space="0" w:color="auto"/>
              <w:bottom w:val="single" w:sz="8" w:space="0" w:color="auto"/>
              <w:right w:val="single" w:sz="8" w:space="0" w:color="auto"/>
            </w:tcBorders>
            <w:tcMar>
              <w:left w:w="108" w:type="dxa"/>
              <w:right w:w="108" w:type="dxa"/>
            </w:tcMar>
          </w:tcPr>
          <w:p w14:paraId="28EF6D3A" w14:textId="369ABBA8" w:rsidR="55214296" w:rsidRDefault="55214296" w:rsidP="55214296">
            <w:r w:rsidRPr="55214296">
              <w:t>Severe Violator Enforcement Program (SVEP)</w:t>
            </w:r>
          </w:p>
          <w:p w14:paraId="68449660" w14:textId="504CFE86" w:rsidR="55214296" w:rsidRDefault="55214296" w:rsidP="55214296">
            <w:r w:rsidRPr="55214296">
              <w:t>CPL 02-00-169</w:t>
            </w:r>
          </w:p>
          <w:p w14:paraId="1FDA5A93" w14:textId="18ADC71C" w:rsidR="55214296" w:rsidRDefault="55214296" w:rsidP="55214296">
            <w:r w:rsidRPr="55214296">
              <w:t>(9/15/2022)</w:t>
            </w:r>
          </w:p>
        </w:tc>
        <w:tc>
          <w:tcPr>
            <w:tcW w:w="1307" w:type="dxa"/>
            <w:tcBorders>
              <w:top w:val="single" w:sz="8" w:space="0" w:color="auto"/>
              <w:left w:val="single" w:sz="8" w:space="0" w:color="auto"/>
              <w:bottom w:val="single" w:sz="8" w:space="0" w:color="auto"/>
              <w:right w:val="single" w:sz="8" w:space="0" w:color="auto"/>
            </w:tcBorders>
            <w:tcMar>
              <w:left w:w="108" w:type="dxa"/>
              <w:right w:w="108" w:type="dxa"/>
            </w:tcMar>
          </w:tcPr>
          <w:p w14:paraId="73808D1F" w14:textId="48EACC4A" w:rsidR="55214296" w:rsidRDefault="55214296" w:rsidP="55214296">
            <w:r w:rsidRPr="55214296">
              <w:t>11/15/2022</w:t>
            </w:r>
          </w:p>
        </w:tc>
        <w:tc>
          <w:tcPr>
            <w:tcW w:w="1262" w:type="dxa"/>
            <w:tcBorders>
              <w:top w:val="single" w:sz="8" w:space="0" w:color="auto"/>
              <w:left w:val="single" w:sz="8" w:space="0" w:color="auto"/>
              <w:bottom w:val="single" w:sz="8" w:space="0" w:color="auto"/>
              <w:right w:val="single" w:sz="8" w:space="0" w:color="auto"/>
            </w:tcBorders>
            <w:tcMar>
              <w:left w:w="108" w:type="dxa"/>
              <w:right w:w="108" w:type="dxa"/>
            </w:tcMar>
          </w:tcPr>
          <w:p w14:paraId="53AE326C" w14:textId="648246FE" w:rsidR="55214296" w:rsidRDefault="55214296" w:rsidP="55214296">
            <w:r w:rsidRPr="55214296">
              <w:t>11/2/2022</w:t>
            </w:r>
          </w:p>
        </w:tc>
        <w:tc>
          <w:tcPr>
            <w:tcW w:w="1010" w:type="dxa"/>
            <w:tcBorders>
              <w:top w:val="single" w:sz="8" w:space="0" w:color="auto"/>
              <w:left w:val="single" w:sz="8" w:space="0" w:color="auto"/>
              <w:bottom w:val="single" w:sz="8" w:space="0" w:color="auto"/>
              <w:right w:val="single" w:sz="8" w:space="0" w:color="auto"/>
            </w:tcBorders>
            <w:tcMar>
              <w:left w:w="108" w:type="dxa"/>
              <w:right w:w="108" w:type="dxa"/>
            </w:tcMar>
          </w:tcPr>
          <w:p w14:paraId="6C3F98EE" w14:textId="44F6A4F9" w:rsidR="55214296" w:rsidRDefault="55214296" w:rsidP="55214296">
            <w:r w:rsidRPr="55214296">
              <w:t>Yes</w:t>
            </w:r>
          </w:p>
        </w:tc>
        <w:tc>
          <w:tcPr>
            <w:tcW w:w="1099" w:type="dxa"/>
            <w:tcBorders>
              <w:top w:val="single" w:sz="8" w:space="0" w:color="auto"/>
              <w:left w:val="single" w:sz="8" w:space="0" w:color="auto"/>
              <w:bottom w:val="single" w:sz="8" w:space="0" w:color="auto"/>
              <w:right w:val="single" w:sz="8" w:space="0" w:color="auto"/>
            </w:tcBorders>
            <w:tcMar>
              <w:left w:w="108" w:type="dxa"/>
              <w:right w:w="108" w:type="dxa"/>
            </w:tcMar>
          </w:tcPr>
          <w:p w14:paraId="2EA871CD" w14:textId="06814854" w:rsidR="55214296" w:rsidRDefault="55214296" w:rsidP="55214296">
            <w:r w:rsidRPr="55214296">
              <w:t>No</w:t>
            </w:r>
          </w:p>
        </w:tc>
        <w:tc>
          <w:tcPr>
            <w:tcW w:w="1292" w:type="dxa"/>
            <w:tcBorders>
              <w:top w:val="single" w:sz="8" w:space="0" w:color="auto"/>
              <w:left w:val="single" w:sz="8" w:space="0" w:color="auto"/>
              <w:bottom w:val="single" w:sz="8" w:space="0" w:color="auto"/>
              <w:right w:val="single" w:sz="8" w:space="0" w:color="auto"/>
            </w:tcBorders>
            <w:tcMar>
              <w:left w:w="108" w:type="dxa"/>
              <w:right w:w="108" w:type="dxa"/>
            </w:tcMar>
          </w:tcPr>
          <w:p w14:paraId="2E873D4C" w14:textId="48587BA0" w:rsidR="55214296" w:rsidRDefault="55214296" w:rsidP="55214296">
            <w:r w:rsidRPr="55214296">
              <w:t>3/15/2023</w:t>
            </w:r>
          </w:p>
        </w:tc>
        <w:tc>
          <w:tcPr>
            <w:tcW w:w="1603" w:type="dxa"/>
            <w:tcBorders>
              <w:top w:val="single" w:sz="8" w:space="0" w:color="auto"/>
              <w:left w:val="single" w:sz="8" w:space="0" w:color="auto"/>
              <w:bottom w:val="single" w:sz="8" w:space="0" w:color="auto"/>
              <w:right w:val="single" w:sz="8" w:space="0" w:color="auto"/>
            </w:tcBorders>
            <w:tcMar>
              <w:left w:w="108" w:type="dxa"/>
              <w:right w:w="108" w:type="dxa"/>
            </w:tcMar>
          </w:tcPr>
          <w:p w14:paraId="376F24DF" w14:textId="760C648C" w:rsidR="55214296" w:rsidRDefault="55214296" w:rsidP="55214296">
            <w:r w:rsidRPr="55214296">
              <w:t>3/15/2023</w:t>
            </w:r>
          </w:p>
        </w:tc>
      </w:tr>
      <w:tr w:rsidR="55214296" w14:paraId="3A191D36" w14:textId="77777777" w:rsidTr="55214296">
        <w:trPr>
          <w:trHeight w:val="300"/>
        </w:trPr>
        <w:tc>
          <w:tcPr>
            <w:tcW w:w="2598" w:type="dxa"/>
            <w:tcBorders>
              <w:top w:val="single" w:sz="8" w:space="0" w:color="auto"/>
              <w:left w:val="single" w:sz="8" w:space="0" w:color="auto"/>
              <w:bottom w:val="single" w:sz="8" w:space="0" w:color="auto"/>
              <w:right w:val="single" w:sz="8" w:space="0" w:color="auto"/>
            </w:tcBorders>
            <w:tcMar>
              <w:left w:w="108" w:type="dxa"/>
              <w:right w:w="108" w:type="dxa"/>
            </w:tcMar>
          </w:tcPr>
          <w:p w14:paraId="201DE0CF" w14:textId="19EF931F" w:rsidR="55214296" w:rsidRDefault="55214296" w:rsidP="55214296">
            <w:r w:rsidRPr="55214296">
              <w:t>Site-Specific Targeting (SST)</w:t>
            </w:r>
          </w:p>
          <w:p w14:paraId="5AC44B43" w14:textId="50CB7568" w:rsidR="55214296" w:rsidRDefault="55214296" w:rsidP="55214296">
            <w:r w:rsidRPr="55214296">
              <w:t>CPL 02-01-064</w:t>
            </w:r>
          </w:p>
          <w:p w14:paraId="765E9EE4" w14:textId="4B53D885" w:rsidR="55214296" w:rsidRDefault="55214296" w:rsidP="55214296">
            <w:r w:rsidRPr="55214296">
              <w:t>(2/7/2023)</w:t>
            </w:r>
          </w:p>
        </w:tc>
        <w:tc>
          <w:tcPr>
            <w:tcW w:w="1307" w:type="dxa"/>
            <w:tcBorders>
              <w:top w:val="single" w:sz="8" w:space="0" w:color="auto"/>
              <w:left w:val="single" w:sz="8" w:space="0" w:color="auto"/>
              <w:bottom w:val="single" w:sz="8" w:space="0" w:color="auto"/>
              <w:right w:val="single" w:sz="8" w:space="0" w:color="auto"/>
            </w:tcBorders>
            <w:tcMar>
              <w:left w:w="108" w:type="dxa"/>
              <w:right w:w="108" w:type="dxa"/>
            </w:tcMar>
          </w:tcPr>
          <w:p w14:paraId="0DACE348" w14:textId="30D10041" w:rsidR="55214296" w:rsidRDefault="55214296" w:rsidP="55214296">
            <w:r w:rsidRPr="55214296">
              <w:t>4/8/2023</w:t>
            </w:r>
          </w:p>
        </w:tc>
        <w:tc>
          <w:tcPr>
            <w:tcW w:w="1262" w:type="dxa"/>
            <w:tcBorders>
              <w:top w:val="single" w:sz="8" w:space="0" w:color="auto"/>
              <w:left w:val="single" w:sz="8" w:space="0" w:color="auto"/>
              <w:bottom w:val="single" w:sz="8" w:space="0" w:color="auto"/>
              <w:right w:val="single" w:sz="8" w:space="0" w:color="auto"/>
            </w:tcBorders>
            <w:tcMar>
              <w:left w:w="108" w:type="dxa"/>
              <w:right w:w="108" w:type="dxa"/>
            </w:tcMar>
          </w:tcPr>
          <w:p w14:paraId="25CC81CF" w14:textId="3CC60801" w:rsidR="55214296" w:rsidRDefault="55214296" w:rsidP="55214296">
            <w:r w:rsidRPr="55214296">
              <w:t>3/3/2023</w:t>
            </w:r>
          </w:p>
        </w:tc>
        <w:tc>
          <w:tcPr>
            <w:tcW w:w="1010" w:type="dxa"/>
            <w:tcBorders>
              <w:top w:val="single" w:sz="8" w:space="0" w:color="auto"/>
              <w:left w:val="single" w:sz="8" w:space="0" w:color="auto"/>
              <w:bottom w:val="single" w:sz="8" w:space="0" w:color="auto"/>
              <w:right w:val="single" w:sz="8" w:space="0" w:color="auto"/>
            </w:tcBorders>
            <w:tcMar>
              <w:left w:w="108" w:type="dxa"/>
              <w:right w:w="108" w:type="dxa"/>
            </w:tcMar>
          </w:tcPr>
          <w:p w14:paraId="4726E9B8" w14:textId="44A97E98" w:rsidR="55214296" w:rsidRDefault="55214296" w:rsidP="55214296">
            <w:r w:rsidRPr="55214296">
              <w:t>Yes</w:t>
            </w:r>
          </w:p>
        </w:tc>
        <w:tc>
          <w:tcPr>
            <w:tcW w:w="1099" w:type="dxa"/>
            <w:tcBorders>
              <w:top w:val="single" w:sz="8" w:space="0" w:color="auto"/>
              <w:left w:val="single" w:sz="8" w:space="0" w:color="auto"/>
              <w:bottom w:val="single" w:sz="8" w:space="0" w:color="auto"/>
              <w:right w:val="single" w:sz="8" w:space="0" w:color="auto"/>
            </w:tcBorders>
            <w:tcMar>
              <w:left w:w="108" w:type="dxa"/>
              <w:right w:w="108" w:type="dxa"/>
            </w:tcMar>
          </w:tcPr>
          <w:p w14:paraId="34A31077" w14:textId="0CD7FE99" w:rsidR="55214296" w:rsidRDefault="55214296" w:rsidP="55214296">
            <w:r w:rsidRPr="55214296">
              <w:t>Yes</w:t>
            </w:r>
          </w:p>
          <w:p w14:paraId="5C60BC2A" w14:textId="511689EB" w:rsidR="55214296" w:rsidRDefault="55214296" w:rsidP="55214296">
            <w:r w:rsidRPr="55214296">
              <w:t>(excluding public sector)</w:t>
            </w:r>
          </w:p>
        </w:tc>
        <w:tc>
          <w:tcPr>
            <w:tcW w:w="1292" w:type="dxa"/>
            <w:tcBorders>
              <w:top w:val="single" w:sz="8" w:space="0" w:color="auto"/>
              <w:left w:val="single" w:sz="8" w:space="0" w:color="auto"/>
              <w:bottom w:val="single" w:sz="8" w:space="0" w:color="auto"/>
              <w:right w:val="single" w:sz="8" w:space="0" w:color="auto"/>
            </w:tcBorders>
            <w:tcMar>
              <w:left w:w="108" w:type="dxa"/>
              <w:right w:w="108" w:type="dxa"/>
            </w:tcMar>
          </w:tcPr>
          <w:p w14:paraId="77D6D07F" w14:textId="601649B7" w:rsidR="55214296" w:rsidRDefault="55214296" w:rsidP="55214296">
            <w:r w:rsidRPr="55214296">
              <w:t>8/6/2023</w:t>
            </w:r>
          </w:p>
        </w:tc>
        <w:tc>
          <w:tcPr>
            <w:tcW w:w="1603" w:type="dxa"/>
            <w:tcBorders>
              <w:top w:val="single" w:sz="8" w:space="0" w:color="auto"/>
              <w:left w:val="single" w:sz="8" w:space="0" w:color="auto"/>
              <w:bottom w:val="single" w:sz="8" w:space="0" w:color="auto"/>
              <w:right w:val="single" w:sz="8" w:space="0" w:color="auto"/>
            </w:tcBorders>
            <w:tcMar>
              <w:left w:w="108" w:type="dxa"/>
              <w:right w:w="108" w:type="dxa"/>
            </w:tcMar>
          </w:tcPr>
          <w:p w14:paraId="798FEF4D" w14:textId="73EB8A5F" w:rsidR="55214296" w:rsidRDefault="55214296" w:rsidP="55214296">
            <w:r w:rsidRPr="55214296">
              <w:t>8/06/2023</w:t>
            </w:r>
          </w:p>
        </w:tc>
      </w:tr>
      <w:tr w:rsidR="55214296" w14:paraId="463F1B0F" w14:textId="77777777" w:rsidTr="55214296">
        <w:trPr>
          <w:trHeight w:val="300"/>
        </w:trPr>
        <w:tc>
          <w:tcPr>
            <w:tcW w:w="2598" w:type="dxa"/>
            <w:tcBorders>
              <w:top w:val="single" w:sz="8" w:space="0" w:color="auto"/>
              <w:left w:val="single" w:sz="8" w:space="0" w:color="auto"/>
              <w:bottom w:val="single" w:sz="8" w:space="0" w:color="auto"/>
              <w:right w:val="single" w:sz="8" w:space="0" w:color="auto"/>
            </w:tcBorders>
            <w:tcMar>
              <w:left w:w="108" w:type="dxa"/>
              <w:right w:w="108" w:type="dxa"/>
            </w:tcMar>
          </w:tcPr>
          <w:p w14:paraId="13E276F4" w14:textId="753DFBC0" w:rsidR="55214296" w:rsidRDefault="55214296" w:rsidP="55214296">
            <w:r w:rsidRPr="55214296">
              <w:t>National Emphasis Program – Falls</w:t>
            </w:r>
          </w:p>
          <w:p w14:paraId="63079BE2" w14:textId="2239463D" w:rsidR="55214296" w:rsidRDefault="55214296" w:rsidP="55214296">
            <w:r w:rsidRPr="55214296">
              <w:t>CPL 03-00-025</w:t>
            </w:r>
          </w:p>
          <w:p w14:paraId="5A35C760" w14:textId="331379EE" w:rsidR="55214296" w:rsidRDefault="55214296" w:rsidP="55214296">
            <w:r w:rsidRPr="55214296">
              <w:t>(5/1/2023)</w:t>
            </w:r>
          </w:p>
        </w:tc>
        <w:tc>
          <w:tcPr>
            <w:tcW w:w="1307" w:type="dxa"/>
            <w:tcBorders>
              <w:top w:val="single" w:sz="8" w:space="0" w:color="auto"/>
              <w:left w:val="single" w:sz="8" w:space="0" w:color="auto"/>
              <w:bottom w:val="single" w:sz="8" w:space="0" w:color="auto"/>
              <w:right w:val="single" w:sz="8" w:space="0" w:color="auto"/>
            </w:tcBorders>
            <w:tcMar>
              <w:left w:w="108" w:type="dxa"/>
              <w:right w:w="108" w:type="dxa"/>
            </w:tcMar>
          </w:tcPr>
          <w:p w14:paraId="461FA782" w14:textId="3BD7C907" w:rsidR="55214296" w:rsidRDefault="55214296" w:rsidP="55214296">
            <w:r w:rsidRPr="55214296">
              <w:t>6/30/2023</w:t>
            </w:r>
          </w:p>
        </w:tc>
        <w:tc>
          <w:tcPr>
            <w:tcW w:w="1262" w:type="dxa"/>
            <w:tcBorders>
              <w:top w:val="single" w:sz="8" w:space="0" w:color="auto"/>
              <w:left w:val="single" w:sz="8" w:space="0" w:color="auto"/>
              <w:bottom w:val="single" w:sz="8" w:space="0" w:color="auto"/>
              <w:right w:val="single" w:sz="8" w:space="0" w:color="auto"/>
            </w:tcBorders>
            <w:tcMar>
              <w:left w:w="108" w:type="dxa"/>
              <w:right w:w="108" w:type="dxa"/>
            </w:tcMar>
          </w:tcPr>
          <w:p w14:paraId="42662D8C" w14:textId="5F47591D" w:rsidR="55214296" w:rsidRDefault="55214296" w:rsidP="55214296">
            <w:r w:rsidRPr="55214296">
              <w:t>6/27/2023</w:t>
            </w:r>
          </w:p>
        </w:tc>
        <w:tc>
          <w:tcPr>
            <w:tcW w:w="1010" w:type="dxa"/>
            <w:tcBorders>
              <w:top w:val="single" w:sz="8" w:space="0" w:color="auto"/>
              <w:left w:val="single" w:sz="8" w:space="0" w:color="auto"/>
              <w:bottom w:val="single" w:sz="8" w:space="0" w:color="auto"/>
              <w:right w:val="single" w:sz="8" w:space="0" w:color="auto"/>
            </w:tcBorders>
            <w:tcMar>
              <w:left w:w="108" w:type="dxa"/>
              <w:right w:w="108" w:type="dxa"/>
            </w:tcMar>
          </w:tcPr>
          <w:p w14:paraId="45A9323E" w14:textId="736F6586" w:rsidR="55214296" w:rsidRDefault="55214296" w:rsidP="55214296">
            <w:r w:rsidRPr="55214296">
              <w:t>Yes</w:t>
            </w:r>
          </w:p>
        </w:tc>
        <w:tc>
          <w:tcPr>
            <w:tcW w:w="1099" w:type="dxa"/>
            <w:tcBorders>
              <w:top w:val="single" w:sz="8" w:space="0" w:color="auto"/>
              <w:left w:val="single" w:sz="8" w:space="0" w:color="auto"/>
              <w:bottom w:val="single" w:sz="8" w:space="0" w:color="auto"/>
              <w:right w:val="single" w:sz="8" w:space="0" w:color="auto"/>
            </w:tcBorders>
            <w:tcMar>
              <w:left w:w="108" w:type="dxa"/>
              <w:right w:w="108" w:type="dxa"/>
            </w:tcMar>
          </w:tcPr>
          <w:p w14:paraId="6B31E7F6" w14:textId="5476CAC6" w:rsidR="55214296" w:rsidRDefault="55214296" w:rsidP="55214296">
            <w:r w:rsidRPr="55214296">
              <w:t>No</w:t>
            </w:r>
          </w:p>
          <w:p w14:paraId="0B511B75" w14:textId="2982060C" w:rsidR="55214296" w:rsidRDefault="55214296" w:rsidP="55214296">
            <w:r w:rsidRPr="55214296">
              <w:t>(equivalent NC procedures)</w:t>
            </w:r>
          </w:p>
        </w:tc>
        <w:tc>
          <w:tcPr>
            <w:tcW w:w="1292" w:type="dxa"/>
            <w:tcBorders>
              <w:top w:val="single" w:sz="8" w:space="0" w:color="auto"/>
              <w:left w:val="single" w:sz="8" w:space="0" w:color="auto"/>
              <w:bottom w:val="single" w:sz="8" w:space="0" w:color="auto"/>
              <w:right w:val="single" w:sz="8" w:space="0" w:color="auto"/>
            </w:tcBorders>
            <w:tcMar>
              <w:left w:w="108" w:type="dxa"/>
              <w:right w:w="108" w:type="dxa"/>
            </w:tcMar>
          </w:tcPr>
          <w:p w14:paraId="6EF54710" w14:textId="58A2D845" w:rsidR="55214296" w:rsidRDefault="55214296" w:rsidP="55214296">
            <w:r w:rsidRPr="55214296">
              <w:t>10/28/2023</w:t>
            </w:r>
          </w:p>
        </w:tc>
        <w:tc>
          <w:tcPr>
            <w:tcW w:w="1603" w:type="dxa"/>
            <w:tcBorders>
              <w:top w:val="single" w:sz="8" w:space="0" w:color="auto"/>
              <w:left w:val="single" w:sz="8" w:space="0" w:color="auto"/>
              <w:bottom w:val="single" w:sz="8" w:space="0" w:color="auto"/>
              <w:right w:val="single" w:sz="8" w:space="0" w:color="auto"/>
            </w:tcBorders>
            <w:tcMar>
              <w:left w:w="108" w:type="dxa"/>
              <w:right w:w="108" w:type="dxa"/>
            </w:tcMar>
          </w:tcPr>
          <w:p w14:paraId="5BE030EC" w14:textId="782853ED" w:rsidR="55214296" w:rsidRDefault="55214296" w:rsidP="55214296">
            <w:r w:rsidRPr="55214296">
              <w:t>9/26/2023</w:t>
            </w:r>
          </w:p>
        </w:tc>
      </w:tr>
      <w:tr w:rsidR="55214296" w14:paraId="5F6B0E46" w14:textId="77777777" w:rsidTr="55214296">
        <w:trPr>
          <w:trHeight w:val="300"/>
        </w:trPr>
        <w:tc>
          <w:tcPr>
            <w:tcW w:w="2598" w:type="dxa"/>
            <w:tcBorders>
              <w:top w:val="single" w:sz="8" w:space="0" w:color="auto"/>
              <w:left w:val="single" w:sz="8" w:space="0" w:color="auto"/>
              <w:bottom w:val="single" w:sz="8" w:space="0" w:color="auto"/>
              <w:right w:val="single" w:sz="8" w:space="0" w:color="auto"/>
            </w:tcBorders>
            <w:tcMar>
              <w:left w:w="108" w:type="dxa"/>
              <w:right w:w="108" w:type="dxa"/>
            </w:tcMar>
          </w:tcPr>
          <w:p w14:paraId="3700FAB4" w14:textId="656B6AB9" w:rsidR="55214296" w:rsidRDefault="55214296" w:rsidP="55214296">
            <w:r w:rsidRPr="55214296">
              <w:t xml:space="preserve">Consultation Policies and Procedures Manual </w:t>
            </w:r>
          </w:p>
          <w:p w14:paraId="67CFF89D" w14:textId="216DBFE4" w:rsidR="55214296" w:rsidRDefault="55214296" w:rsidP="55214296">
            <w:r w:rsidRPr="55214296">
              <w:t>CSP 02-00-005</w:t>
            </w:r>
          </w:p>
          <w:p w14:paraId="2AFF45ED" w14:textId="198D1E94" w:rsidR="55214296" w:rsidRDefault="55214296" w:rsidP="55214296">
            <w:r w:rsidRPr="55214296">
              <w:t xml:space="preserve">(9/29/2023)   </w:t>
            </w:r>
          </w:p>
        </w:tc>
        <w:tc>
          <w:tcPr>
            <w:tcW w:w="1307" w:type="dxa"/>
            <w:tcBorders>
              <w:top w:val="single" w:sz="8" w:space="0" w:color="auto"/>
              <w:left w:val="single" w:sz="8" w:space="0" w:color="auto"/>
              <w:bottom w:val="single" w:sz="8" w:space="0" w:color="auto"/>
              <w:right w:val="single" w:sz="8" w:space="0" w:color="auto"/>
            </w:tcBorders>
            <w:tcMar>
              <w:left w:w="108" w:type="dxa"/>
              <w:right w:w="108" w:type="dxa"/>
            </w:tcMar>
          </w:tcPr>
          <w:p w14:paraId="64EEC115" w14:textId="0DFE4261" w:rsidR="55214296" w:rsidRDefault="55214296" w:rsidP="55214296">
            <w:r w:rsidRPr="55214296">
              <w:t>11/28/2023</w:t>
            </w:r>
          </w:p>
        </w:tc>
        <w:tc>
          <w:tcPr>
            <w:tcW w:w="1262" w:type="dxa"/>
            <w:tcBorders>
              <w:top w:val="single" w:sz="8" w:space="0" w:color="auto"/>
              <w:left w:val="single" w:sz="8" w:space="0" w:color="auto"/>
              <w:bottom w:val="single" w:sz="8" w:space="0" w:color="auto"/>
              <w:right w:val="single" w:sz="8" w:space="0" w:color="auto"/>
            </w:tcBorders>
            <w:tcMar>
              <w:left w:w="108" w:type="dxa"/>
              <w:right w:w="108" w:type="dxa"/>
            </w:tcMar>
          </w:tcPr>
          <w:p w14:paraId="73EFBC1D" w14:textId="1B8F6F8F" w:rsidR="55214296" w:rsidRDefault="55214296" w:rsidP="55214296">
            <w:r w:rsidRPr="55214296">
              <w:t>10/18/2023</w:t>
            </w:r>
          </w:p>
        </w:tc>
        <w:tc>
          <w:tcPr>
            <w:tcW w:w="1010" w:type="dxa"/>
            <w:tcBorders>
              <w:top w:val="single" w:sz="8" w:space="0" w:color="auto"/>
              <w:left w:val="single" w:sz="8" w:space="0" w:color="auto"/>
              <w:bottom w:val="single" w:sz="8" w:space="0" w:color="auto"/>
              <w:right w:val="single" w:sz="8" w:space="0" w:color="auto"/>
            </w:tcBorders>
            <w:tcMar>
              <w:left w:w="108" w:type="dxa"/>
              <w:right w:w="108" w:type="dxa"/>
            </w:tcMar>
          </w:tcPr>
          <w:p w14:paraId="20A1F3B5" w14:textId="3159B724" w:rsidR="55214296" w:rsidRDefault="55214296" w:rsidP="55214296">
            <w:r w:rsidRPr="55214296">
              <w:t>Yes</w:t>
            </w:r>
          </w:p>
        </w:tc>
        <w:tc>
          <w:tcPr>
            <w:tcW w:w="1099" w:type="dxa"/>
            <w:tcBorders>
              <w:top w:val="single" w:sz="8" w:space="0" w:color="auto"/>
              <w:left w:val="single" w:sz="8" w:space="0" w:color="auto"/>
              <w:bottom w:val="single" w:sz="8" w:space="0" w:color="auto"/>
              <w:right w:val="single" w:sz="8" w:space="0" w:color="auto"/>
            </w:tcBorders>
            <w:tcMar>
              <w:left w:w="108" w:type="dxa"/>
              <w:right w:w="108" w:type="dxa"/>
            </w:tcMar>
          </w:tcPr>
          <w:p w14:paraId="383ACE98" w14:textId="59B15222" w:rsidR="55214296" w:rsidRDefault="55214296" w:rsidP="55214296">
            <w:r w:rsidRPr="55214296">
              <w:t>Yes</w:t>
            </w:r>
          </w:p>
        </w:tc>
        <w:tc>
          <w:tcPr>
            <w:tcW w:w="1292" w:type="dxa"/>
            <w:tcBorders>
              <w:top w:val="single" w:sz="8" w:space="0" w:color="auto"/>
              <w:left w:val="single" w:sz="8" w:space="0" w:color="auto"/>
              <w:bottom w:val="single" w:sz="8" w:space="0" w:color="auto"/>
              <w:right w:val="single" w:sz="8" w:space="0" w:color="auto"/>
            </w:tcBorders>
            <w:tcMar>
              <w:left w:w="108" w:type="dxa"/>
              <w:right w:w="108" w:type="dxa"/>
            </w:tcMar>
          </w:tcPr>
          <w:p w14:paraId="24AF51C8" w14:textId="6859EC50" w:rsidR="55214296" w:rsidRDefault="55214296" w:rsidP="55214296">
            <w:r w:rsidRPr="55214296">
              <w:t>3/27/2024</w:t>
            </w:r>
          </w:p>
        </w:tc>
        <w:tc>
          <w:tcPr>
            <w:tcW w:w="1603" w:type="dxa"/>
            <w:tcBorders>
              <w:top w:val="single" w:sz="8" w:space="0" w:color="auto"/>
              <w:left w:val="single" w:sz="8" w:space="0" w:color="auto"/>
              <w:bottom w:val="single" w:sz="8" w:space="0" w:color="auto"/>
              <w:right w:val="single" w:sz="8" w:space="0" w:color="auto"/>
            </w:tcBorders>
            <w:tcMar>
              <w:left w:w="108" w:type="dxa"/>
              <w:right w:w="108" w:type="dxa"/>
            </w:tcMar>
          </w:tcPr>
          <w:p w14:paraId="0A6A2F91" w14:textId="63C9CBD8" w:rsidR="55214296" w:rsidRDefault="55214296" w:rsidP="55214296">
            <w:r w:rsidRPr="55214296">
              <w:t>3/18/2023</w:t>
            </w:r>
          </w:p>
        </w:tc>
      </w:tr>
    </w:tbl>
    <w:p w14:paraId="4C85F7CD" w14:textId="02DEE316" w:rsidR="4B750326" w:rsidRDefault="4B750326" w:rsidP="55214296">
      <w:pPr>
        <w:jc w:val="center"/>
        <w:rPr>
          <w:b/>
          <w:bCs/>
        </w:rPr>
      </w:pPr>
      <w:r w:rsidRPr="55214296">
        <w:rPr>
          <w:b/>
          <w:bCs/>
        </w:rPr>
        <w:t xml:space="preserve"> </w:t>
      </w:r>
    </w:p>
    <w:p w14:paraId="7144EE95" w14:textId="663718D6" w:rsidR="000B7AA9" w:rsidRPr="00860F33" w:rsidRDefault="000B7AA9" w:rsidP="55214296">
      <w:pPr>
        <w:jc w:val="center"/>
        <w:rPr>
          <w:rFonts w:asciiTheme="minorHAnsi" w:hAnsiTheme="minorHAnsi" w:cstheme="minorHAnsi"/>
          <w:b/>
        </w:rPr>
      </w:pPr>
      <w:r w:rsidRPr="55214296">
        <w:rPr>
          <w:b/>
        </w:rPr>
        <w:t>Table D</w:t>
      </w:r>
    </w:p>
    <w:p w14:paraId="45283804" w14:textId="79F537A9" w:rsidR="000B7AA9" w:rsidRDefault="000B7AA9" w:rsidP="55214296">
      <w:pPr>
        <w:jc w:val="center"/>
        <w:rPr>
          <w:rFonts w:asciiTheme="minorHAnsi" w:hAnsiTheme="minorHAnsi" w:cstheme="minorHAnsi"/>
          <w:b/>
          <w:bCs/>
        </w:rPr>
      </w:pPr>
      <w:r w:rsidRPr="55214296">
        <w:rPr>
          <w:b/>
        </w:rPr>
        <w:t xml:space="preserve">Status of FY 2022 and FY 2023 Federal Program Changes (FPCs) Where </w:t>
      </w:r>
      <w:r w:rsidRPr="00860F33">
        <w:rPr>
          <w:rFonts w:asciiTheme="minorHAnsi" w:hAnsiTheme="minorHAnsi" w:cstheme="minorHAnsi"/>
          <w:b/>
          <w:bCs/>
        </w:rPr>
        <w:t>Adoption Was Encouraged</w:t>
      </w:r>
    </w:p>
    <w:p w14:paraId="72CABBD0" w14:textId="5ECBB984" w:rsidR="4B750326" w:rsidRDefault="4B750326" w:rsidP="55214296">
      <w:pPr>
        <w:tabs>
          <w:tab w:val="left" w:pos="0"/>
          <w:tab w:val="left" w:pos="1440"/>
        </w:tabs>
        <w:jc w:val="center"/>
      </w:pPr>
      <w:r w:rsidRPr="55214296">
        <w:t>(May include any delinquent FPCs from earlier fiscal years)</w:t>
      </w:r>
    </w:p>
    <w:tbl>
      <w:tblPr>
        <w:tblStyle w:val="TableGrid"/>
        <w:tblW w:w="0" w:type="auto"/>
        <w:tblLayout w:type="fixed"/>
        <w:tblLook w:val="06A0" w:firstRow="1" w:lastRow="0" w:firstColumn="1" w:lastColumn="0" w:noHBand="1" w:noVBand="1"/>
      </w:tblPr>
      <w:tblGrid>
        <w:gridCol w:w="2370"/>
        <w:gridCol w:w="2100"/>
        <w:gridCol w:w="1485"/>
        <w:gridCol w:w="1395"/>
        <w:gridCol w:w="1110"/>
        <w:gridCol w:w="1680"/>
      </w:tblGrid>
      <w:tr w:rsidR="000B7AA9" w:rsidRPr="00860F33" w14:paraId="178D9D74" w14:textId="77777777" w:rsidTr="55214296">
        <w:trPr>
          <w:trHeight w:val="15"/>
        </w:trPr>
        <w:tc>
          <w:tcPr>
            <w:tcW w:w="2370" w:type="dxa"/>
            <w:tcBorders>
              <w:top w:val="single" w:sz="8" w:space="0" w:color="auto"/>
              <w:left w:val="single" w:sz="8" w:space="0" w:color="auto"/>
              <w:bottom w:val="single" w:sz="8" w:space="0" w:color="auto"/>
              <w:right w:val="single" w:sz="8" w:space="0" w:color="auto"/>
            </w:tcBorders>
            <w:shd w:val="clear" w:color="auto" w:fill="44546A"/>
            <w:tcMar>
              <w:left w:w="108" w:type="dxa"/>
              <w:right w:w="108" w:type="dxa"/>
            </w:tcMar>
          </w:tcPr>
          <w:p w14:paraId="2BF60821" w14:textId="644CE1DB" w:rsidR="000B7AA9" w:rsidRPr="00860F33" w:rsidRDefault="000B7AA9" w:rsidP="55214296">
            <w:pPr>
              <w:rPr>
                <w:rFonts w:asciiTheme="minorHAnsi" w:eastAsia="Calibri" w:hAnsiTheme="minorHAnsi" w:cstheme="minorHAnsi"/>
                <w:b/>
                <w:color w:val="FFFFFF" w:themeColor="background1"/>
              </w:rPr>
            </w:pPr>
            <w:r w:rsidRPr="55214296">
              <w:rPr>
                <w:rFonts w:eastAsia="Calibri"/>
                <w:b/>
                <w:color w:val="FFFFFF" w:themeColor="background1"/>
              </w:rPr>
              <w:t>FPC Directive/Subject</w:t>
            </w:r>
          </w:p>
        </w:tc>
        <w:tc>
          <w:tcPr>
            <w:tcW w:w="2100" w:type="dxa"/>
            <w:tcBorders>
              <w:top w:val="single" w:sz="8" w:space="0" w:color="auto"/>
              <w:left w:val="single" w:sz="8" w:space="0" w:color="auto"/>
              <w:bottom w:val="single" w:sz="8" w:space="0" w:color="auto"/>
              <w:right w:val="single" w:sz="8" w:space="0" w:color="auto"/>
            </w:tcBorders>
            <w:shd w:val="clear" w:color="auto" w:fill="44546A"/>
            <w:tcMar>
              <w:left w:w="108" w:type="dxa"/>
              <w:right w:w="108" w:type="dxa"/>
            </w:tcMar>
          </w:tcPr>
          <w:p w14:paraId="36BF11B3" w14:textId="0E6CF7F7" w:rsidR="000B7AA9" w:rsidRPr="00860F33" w:rsidRDefault="000B7AA9" w:rsidP="55214296">
            <w:pPr>
              <w:rPr>
                <w:rFonts w:asciiTheme="minorHAnsi" w:eastAsia="Calibri" w:hAnsiTheme="minorHAnsi" w:cstheme="minorHAnsi"/>
                <w:b/>
                <w:color w:val="FFFFFF" w:themeColor="background1"/>
              </w:rPr>
            </w:pPr>
            <w:r w:rsidRPr="55214296">
              <w:rPr>
                <w:rFonts w:eastAsia="Calibri"/>
                <w:b/>
                <w:color w:val="FFFFFF" w:themeColor="background1"/>
              </w:rPr>
              <w:t>Response Due Date</w:t>
            </w:r>
          </w:p>
        </w:tc>
        <w:tc>
          <w:tcPr>
            <w:tcW w:w="1485" w:type="dxa"/>
            <w:tcBorders>
              <w:top w:val="single" w:sz="8" w:space="0" w:color="auto"/>
              <w:left w:val="single" w:sz="8" w:space="0" w:color="auto"/>
              <w:bottom w:val="single" w:sz="8" w:space="0" w:color="auto"/>
              <w:right w:val="single" w:sz="8" w:space="0" w:color="auto"/>
            </w:tcBorders>
            <w:shd w:val="clear" w:color="auto" w:fill="44546A"/>
            <w:tcMar>
              <w:left w:w="108" w:type="dxa"/>
              <w:right w:w="108" w:type="dxa"/>
            </w:tcMar>
          </w:tcPr>
          <w:p w14:paraId="3B607D94" w14:textId="73030C10" w:rsidR="000B7AA9" w:rsidRPr="00860F33" w:rsidRDefault="000B7AA9" w:rsidP="55214296">
            <w:pPr>
              <w:rPr>
                <w:rFonts w:asciiTheme="minorHAnsi" w:hAnsiTheme="minorHAnsi" w:cstheme="minorHAnsi"/>
                <w:b/>
                <w:color w:val="FFFFFF" w:themeColor="background1"/>
              </w:rPr>
            </w:pPr>
            <w:r w:rsidRPr="55214296">
              <w:rPr>
                <w:rFonts w:eastAsia="Calibri"/>
                <w:b/>
                <w:color w:val="FFFFFF" w:themeColor="background1"/>
              </w:rPr>
              <w:t>State Plan Response Date</w:t>
            </w:r>
          </w:p>
        </w:tc>
        <w:tc>
          <w:tcPr>
            <w:tcW w:w="1395" w:type="dxa"/>
            <w:tcBorders>
              <w:top w:val="single" w:sz="8" w:space="0" w:color="auto"/>
              <w:left w:val="single" w:sz="8" w:space="0" w:color="auto"/>
              <w:bottom w:val="single" w:sz="8" w:space="0" w:color="auto"/>
              <w:right w:val="single" w:sz="8" w:space="0" w:color="auto"/>
            </w:tcBorders>
            <w:shd w:val="clear" w:color="auto" w:fill="44546A"/>
            <w:tcMar>
              <w:left w:w="108" w:type="dxa"/>
              <w:right w:w="108" w:type="dxa"/>
            </w:tcMar>
          </w:tcPr>
          <w:p w14:paraId="7A7AE94D" w14:textId="442F968B" w:rsidR="000B7AA9" w:rsidRPr="00860F33" w:rsidRDefault="000B7AA9" w:rsidP="55214296">
            <w:pPr>
              <w:rPr>
                <w:rFonts w:asciiTheme="minorHAnsi" w:hAnsiTheme="minorHAnsi" w:cstheme="minorHAnsi"/>
                <w:b/>
                <w:color w:val="FFFFFF" w:themeColor="background1"/>
              </w:rPr>
            </w:pPr>
            <w:r w:rsidRPr="55214296">
              <w:rPr>
                <w:rFonts w:eastAsia="Calibri"/>
                <w:b/>
                <w:color w:val="FFFFFF" w:themeColor="background1"/>
              </w:rPr>
              <w:t>Intent to Adopt</w:t>
            </w:r>
          </w:p>
        </w:tc>
        <w:tc>
          <w:tcPr>
            <w:tcW w:w="1110" w:type="dxa"/>
            <w:tcBorders>
              <w:top w:val="single" w:sz="8" w:space="0" w:color="auto"/>
              <w:left w:val="single" w:sz="8" w:space="0" w:color="auto"/>
              <w:bottom w:val="single" w:sz="8" w:space="0" w:color="auto"/>
              <w:right w:val="single" w:sz="8" w:space="0" w:color="auto"/>
            </w:tcBorders>
            <w:shd w:val="clear" w:color="auto" w:fill="44546A"/>
            <w:tcMar>
              <w:left w:w="108" w:type="dxa"/>
              <w:right w:w="108" w:type="dxa"/>
            </w:tcMar>
          </w:tcPr>
          <w:p w14:paraId="7B019507" w14:textId="75D95408" w:rsidR="000B7AA9" w:rsidRPr="00860F33" w:rsidRDefault="000B7AA9" w:rsidP="55214296">
            <w:pPr>
              <w:rPr>
                <w:rFonts w:asciiTheme="minorHAnsi" w:hAnsiTheme="minorHAnsi" w:cstheme="minorHAnsi"/>
                <w:b/>
                <w:color w:val="FFFFFF" w:themeColor="background1"/>
              </w:rPr>
            </w:pPr>
            <w:r w:rsidRPr="55214296">
              <w:rPr>
                <w:rFonts w:eastAsia="Calibri"/>
                <w:b/>
                <w:color w:val="FFFFFF" w:themeColor="background1"/>
              </w:rPr>
              <w:t>Adopt Identical</w:t>
            </w:r>
          </w:p>
        </w:tc>
        <w:tc>
          <w:tcPr>
            <w:tcW w:w="1680" w:type="dxa"/>
            <w:tcBorders>
              <w:top w:val="single" w:sz="8" w:space="0" w:color="auto"/>
              <w:left w:val="single" w:sz="8" w:space="0" w:color="auto"/>
              <w:bottom w:val="single" w:sz="8" w:space="0" w:color="auto"/>
              <w:right w:val="single" w:sz="8" w:space="0" w:color="auto"/>
            </w:tcBorders>
            <w:shd w:val="clear" w:color="auto" w:fill="44546A"/>
            <w:tcMar>
              <w:left w:w="108" w:type="dxa"/>
              <w:right w:w="108" w:type="dxa"/>
            </w:tcMar>
          </w:tcPr>
          <w:p w14:paraId="4C717ADE" w14:textId="5A0D49E0" w:rsidR="000B7AA9" w:rsidRPr="00860F33" w:rsidRDefault="000B7AA9" w:rsidP="55214296">
            <w:pPr>
              <w:rPr>
                <w:rFonts w:asciiTheme="minorHAnsi" w:hAnsiTheme="minorHAnsi" w:cstheme="minorHAnsi"/>
                <w:b/>
                <w:color w:val="FFFFFF" w:themeColor="background1"/>
              </w:rPr>
            </w:pPr>
            <w:r w:rsidRPr="55214296">
              <w:rPr>
                <w:rFonts w:eastAsia="Calibri"/>
                <w:b/>
                <w:color w:val="FFFFFF" w:themeColor="background1"/>
              </w:rPr>
              <w:t>State Plan Adoption Date</w:t>
            </w:r>
          </w:p>
        </w:tc>
      </w:tr>
      <w:tr w:rsidR="000B7AA9" w:rsidRPr="00860F33" w14:paraId="6034D153" w14:textId="77777777" w:rsidTr="55214296">
        <w:trPr>
          <w:trHeight w:val="1230"/>
        </w:trPr>
        <w:tc>
          <w:tcPr>
            <w:tcW w:w="2370" w:type="dxa"/>
            <w:tcBorders>
              <w:top w:val="single" w:sz="8" w:space="0" w:color="auto"/>
              <w:left w:val="single" w:sz="8" w:space="0" w:color="auto"/>
              <w:bottom w:val="single" w:sz="8" w:space="0" w:color="auto"/>
              <w:right w:val="single" w:sz="8" w:space="0" w:color="auto"/>
            </w:tcBorders>
            <w:tcMar>
              <w:left w:w="108" w:type="dxa"/>
              <w:right w:w="108" w:type="dxa"/>
            </w:tcMar>
          </w:tcPr>
          <w:p w14:paraId="5017B330" w14:textId="02315D0C" w:rsidR="000B7AA9" w:rsidRDefault="000B7AA9" w:rsidP="55214296">
            <w:r w:rsidRPr="55214296">
              <w:t>OSHA’s Use of Small Unmanned Aircraft Systems</w:t>
            </w:r>
          </w:p>
          <w:p w14:paraId="644C6813" w14:textId="1E70B899" w:rsidR="000B7AA9" w:rsidRDefault="000B7AA9" w:rsidP="55214296">
            <w:r w:rsidRPr="55214296">
              <w:t>CPL 02-01-169</w:t>
            </w:r>
          </w:p>
          <w:p w14:paraId="6818DAAF" w14:textId="05180301" w:rsidR="000B7AA9" w:rsidRPr="00860F33" w:rsidRDefault="000B7AA9" w:rsidP="55214296">
            <w:pPr>
              <w:rPr>
                <w:rFonts w:asciiTheme="minorHAnsi" w:hAnsiTheme="minorHAnsi" w:cstheme="minorHAnsi"/>
              </w:rPr>
            </w:pPr>
            <w:r w:rsidRPr="55214296">
              <w:t>(12/22/2021)</w:t>
            </w:r>
          </w:p>
        </w:tc>
        <w:tc>
          <w:tcPr>
            <w:tcW w:w="2100" w:type="dxa"/>
            <w:tcBorders>
              <w:top w:val="single" w:sz="8" w:space="0" w:color="auto"/>
              <w:left w:val="single" w:sz="8" w:space="0" w:color="auto"/>
              <w:bottom w:val="single" w:sz="8" w:space="0" w:color="auto"/>
              <w:right w:val="single" w:sz="8" w:space="0" w:color="auto"/>
            </w:tcBorders>
            <w:tcMar>
              <w:left w:w="108" w:type="dxa"/>
              <w:right w:w="108" w:type="dxa"/>
            </w:tcMar>
          </w:tcPr>
          <w:p w14:paraId="236556D4" w14:textId="3766DD60" w:rsidR="000B7AA9" w:rsidRPr="00860F33" w:rsidRDefault="000B7AA9" w:rsidP="55214296">
            <w:pPr>
              <w:rPr>
                <w:rFonts w:asciiTheme="minorHAnsi" w:hAnsiTheme="minorHAnsi" w:cstheme="minorHAnsi"/>
              </w:rPr>
            </w:pPr>
            <w:r w:rsidRPr="55214296">
              <w:t>2/22/2022</w:t>
            </w:r>
          </w:p>
        </w:tc>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42593F8F" w14:textId="7790DC0C" w:rsidR="000B7AA9" w:rsidRPr="00860F33" w:rsidRDefault="000B7AA9" w:rsidP="55214296">
            <w:pPr>
              <w:rPr>
                <w:rFonts w:asciiTheme="minorHAnsi" w:hAnsiTheme="minorHAnsi" w:cstheme="minorHAnsi"/>
              </w:rPr>
            </w:pPr>
            <w:r w:rsidRPr="55214296">
              <w:t>2/2/2022</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tcPr>
          <w:p w14:paraId="6D160D45" w14:textId="3A2AE8EA" w:rsidR="000B7AA9" w:rsidRPr="00860F33" w:rsidRDefault="000B7AA9" w:rsidP="55214296">
            <w:pPr>
              <w:rPr>
                <w:rFonts w:asciiTheme="minorHAnsi" w:hAnsiTheme="minorHAnsi" w:cstheme="minorHAnsi"/>
              </w:rPr>
            </w:pPr>
            <w:r w:rsidRPr="55214296">
              <w:rPr>
                <w:rFonts w:eastAsia="Calibri"/>
                <w:sz w:val="20"/>
                <w:szCs w:val="20"/>
              </w:rPr>
              <w:t>Yes</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tcPr>
          <w:p w14:paraId="65F1EAC8" w14:textId="67062C8E" w:rsidR="000B7AA9" w:rsidRDefault="000B7AA9" w:rsidP="55214296">
            <w:pPr>
              <w:rPr>
                <w:rFonts w:asciiTheme="minorHAnsi" w:hAnsiTheme="minorHAnsi" w:cstheme="minorHAnsi"/>
              </w:rPr>
            </w:pPr>
            <w:r w:rsidRPr="55214296">
              <w:t>No</w:t>
            </w:r>
            <w:r w:rsidR="00EE11FE">
              <w:t>;</w:t>
            </w:r>
          </w:p>
          <w:p w14:paraId="4677B265" w14:textId="72E822F8" w:rsidR="000B7AA9" w:rsidRPr="00860F33" w:rsidRDefault="000B7AA9" w:rsidP="55214296">
            <w:pPr>
              <w:rPr>
                <w:rFonts w:asciiTheme="minorHAnsi" w:hAnsiTheme="minorHAnsi" w:cstheme="minorHAnsi"/>
              </w:rPr>
            </w:pPr>
            <w:r w:rsidRPr="55214296">
              <w:t xml:space="preserve">OPN 30 </w:t>
            </w:r>
            <w:r>
              <w:rPr>
                <w:rFonts w:asciiTheme="minorHAnsi" w:hAnsiTheme="minorHAnsi" w:cstheme="minorHAnsi"/>
              </w:rPr>
              <w:t>is more stringent</w:t>
            </w:r>
          </w:p>
        </w:tc>
        <w:tc>
          <w:tcPr>
            <w:tcW w:w="1680" w:type="dxa"/>
            <w:tcBorders>
              <w:top w:val="single" w:sz="8" w:space="0" w:color="auto"/>
              <w:left w:val="single" w:sz="8" w:space="0" w:color="auto"/>
              <w:bottom w:val="single" w:sz="8" w:space="0" w:color="auto"/>
              <w:right w:val="single" w:sz="8" w:space="0" w:color="auto"/>
            </w:tcBorders>
            <w:tcMar>
              <w:left w:w="108" w:type="dxa"/>
              <w:right w:w="108" w:type="dxa"/>
            </w:tcMar>
          </w:tcPr>
          <w:p w14:paraId="11B2D0CD" w14:textId="1A2312DD" w:rsidR="000B7AA9" w:rsidRPr="00860F33" w:rsidRDefault="000B7AA9" w:rsidP="55214296">
            <w:pPr>
              <w:rPr>
                <w:rFonts w:asciiTheme="minorHAnsi" w:hAnsiTheme="minorHAnsi" w:cstheme="minorHAnsi"/>
              </w:rPr>
            </w:pPr>
            <w:r w:rsidRPr="55214296">
              <w:t>2/02/2022</w:t>
            </w:r>
          </w:p>
        </w:tc>
      </w:tr>
      <w:tr w:rsidR="000B7AA9" w:rsidRPr="00860F33" w14:paraId="26EB87A3" w14:textId="77777777" w:rsidTr="55214296">
        <w:trPr>
          <w:trHeight w:val="1425"/>
        </w:trPr>
        <w:tc>
          <w:tcPr>
            <w:tcW w:w="2370" w:type="dxa"/>
            <w:tcBorders>
              <w:top w:val="single" w:sz="8" w:space="0" w:color="auto"/>
              <w:left w:val="single" w:sz="8" w:space="0" w:color="auto"/>
              <w:bottom w:val="single" w:sz="8" w:space="0" w:color="auto"/>
              <w:right w:val="single" w:sz="8" w:space="0" w:color="auto"/>
            </w:tcBorders>
            <w:tcMar>
              <w:left w:w="108" w:type="dxa"/>
              <w:right w:w="108" w:type="dxa"/>
            </w:tcMar>
          </w:tcPr>
          <w:p w14:paraId="4AA6ADB7" w14:textId="6612E74A" w:rsidR="000B7AA9" w:rsidRDefault="000B7AA9" w:rsidP="55214296">
            <w:r w:rsidRPr="55214296">
              <w:t>National Emphasis Program – Outdoor and Indoor Heat-Related Hazards</w:t>
            </w:r>
          </w:p>
          <w:p w14:paraId="0407C412" w14:textId="0DE50513" w:rsidR="000B7AA9" w:rsidRDefault="000B7AA9" w:rsidP="55214296">
            <w:r w:rsidRPr="55214296">
              <w:t>CPL 03-00-024</w:t>
            </w:r>
          </w:p>
          <w:p w14:paraId="3B89677C" w14:textId="0F1449A5" w:rsidR="000B7AA9" w:rsidRPr="00860F33" w:rsidRDefault="000B7AA9" w:rsidP="55214296">
            <w:pPr>
              <w:rPr>
                <w:rFonts w:asciiTheme="minorHAnsi" w:hAnsiTheme="minorHAnsi" w:cstheme="minorHAnsi"/>
              </w:rPr>
            </w:pPr>
            <w:r w:rsidRPr="55214296">
              <w:t>(4/8/2022)</w:t>
            </w:r>
          </w:p>
        </w:tc>
        <w:tc>
          <w:tcPr>
            <w:tcW w:w="2100" w:type="dxa"/>
            <w:tcBorders>
              <w:top w:val="single" w:sz="8" w:space="0" w:color="auto"/>
              <w:left w:val="single" w:sz="8" w:space="0" w:color="auto"/>
              <w:bottom w:val="single" w:sz="8" w:space="0" w:color="auto"/>
              <w:right w:val="single" w:sz="8" w:space="0" w:color="auto"/>
            </w:tcBorders>
            <w:tcMar>
              <w:left w:w="108" w:type="dxa"/>
              <w:right w:w="108" w:type="dxa"/>
            </w:tcMar>
          </w:tcPr>
          <w:p w14:paraId="0DA251CD" w14:textId="1C0D6C0B" w:rsidR="000B7AA9" w:rsidRPr="00860F33" w:rsidRDefault="000B7AA9" w:rsidP="55214296">
            <w:pPr>
              <w:rPr>
                <w:rFonts w:asciiTheme="minorHAnsi" w:hAnsiTheme="minorHAnsi" w:cstheme="minorHAnsi"/>
              </w:rPr>
            </w:pPr>
            <w:r w:rsidRPr="55214296">
              <w:t>6/8/2022</w:t>
            </w:r>
          </w:p>
        </w:tc>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4C62C016" w14:textId="2D0DD902" w:rsidR="000B7AA9" w:rsidRPr="00860F33" w:rsidRDefault="000B7AA9" w:rsidP="55214296">
            <w:pPr>
              <w:rPr>
                <w:rFonts w:asciiTheme="minorHAnsi" w:hAnsiTheme="minorHAnsi" w:cstheme="minorHAnsi"/>
              </w:rPr>
            </w:pPr>
            <w:r w:rsidRPr="55214296">
              <w:t>6/6/2022</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tcPr>
          <w:p w14:paraId="2416D258" w14:textId="35D48FD8" w:rsidR="000B7AA9" w:rsidRPr="00860F33" w:rsidRDefault="000B7AA9" w:rsidP="55214296">
            <w:pPr>
              <w:rPr>
                <w:rFonts w:asciiTheme="minorHAnsi" w:hAnsiTheme="minorHAnsi" w:cstheme="minorHAnsi"/>
              </w:rPr>
            </w:pPr>
            <w:r w:rsidRPr="55214296">
              <w:t>No</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tcPr>
          <w:p w14:paraId="7275AAFF" w14:textId="617ABC5D" w:rsidR="000B7AA9" w:rsidRDefault="000B7AA9" w:rsidP="55214296">
            <w:pPr>
              <w:rPr>
                <w:rFonts w:asciiTheme="minorHAnsi" w:hAnsiTheme="minorHAnsi" w:cstheme="minorHAnsi"/>
              </w:rPr>
            </w:pPr>
            <w:r w:rsidRPr="55214296">
              <w:t>No</w:t>
            </w:r>
            <w:r w:rsidR="00EE11FE">
              <w:t>;</w:t>
            </w:r>
          </w:p>
          <w:p w14:paraId="1F3C24ED" w14:textId="5A4970FE" w:rsidR="000B7AA9" w:rsidRPr="00860F33" w:rsidRDefault="000B7AA9" w:rsidP="55214296">
            <w:pPr>
              <w:rPr>
                <w:rFonts w:asciiTheme="minorHAnsi" w:hAnsiTheme="minorHAnsi" w:cstheme="minorHAnsi"/>
              </w:rPr>
            </w:pPr>
            <w:r w:rsidRPr="55214296">
              <w:t>OPN 141 is equivale</w:t>
            </w:r>
            <w:r w:rsidR="00EE11FE">
              <w:t>-</w:t>
            </w:r>
            <w:proofErr w:type="spellStart"/>
            <w:r w:rsidRPr="55214296">
              <w:t>nt</w:t>
            </w:r>
            <w:proofErr w:type="spellEnd"/>
          </w:p>
        </w:tc>
        <w:tc>
          <w:tcPr>
            <w:tcW w:w="1680" w:type="dxa"/>
            <w:tcBorders>
              <w:top w:val="single" w:sz="8" w:space="0" w:color="auto"/>
              <w:left w:val="single" w:sz="8" w:space="0" w:color="auto"/>
              <w:bottom w:val="single" w:sz="8" w:space="0" w:color="auto"/>
              <w:right w:val="single" w:sz="8" w:space="0" w:color="auto"/>
            </w:tcBorders>
            <w:tcMar>
              <w:left w:w="108" w:type="dxa"/>
              <w:right w:w="108" w:type="dxa"/>
            </w:tcMar>
          </w:tcPr>
          <w:p w14:paraId="19B3E040" w14:textId="1F5959EF" w:rsidR="000B7AA9" w:rsidRPr="00860F33" w:rsidRDefault="000B7AA9" w:rsidP="55214296">
            <w:pPr>
              <w:rPr>
                <w:rFonts w:asciiTheme="minorHAnsi" w:hAnsiTheme="minorHAnsi" w:cstheme="minorHAnsi"/>
              </w:rPr>
            </w:pPr>
            <w:r w:rsidRPr="55214296">
              <w:t>6/06/2023</w:t>
            </w:r>
          </w:p>
        </w:tc>
      </w:tr>
    </w:tbl>
    <w:p w14:paraId="54D04497" w14:textId="4BAD14D5" w:rsidR="4B750326" w:rsidRDefault="4B750326" w:rsidP="55214296">
      <w:pPr>
        <w:jc w:val="both"/>
      </w:pPr>
      <w:r w:rsidRPr="55214296">
        <w:lastRenderedPageBreak/>
        <w:t xml:space="preserve"> </w:t>
      </w:r>
    </w:p>
    <w:p w14:paraId="0A6C4989" w14:textId="4B577E3E" w:rsidR="4B750326" w:rsidRDefault="4B750326" w:rsidP="55214296">
      <w:pPr>
        <w:jc w:val="both"/>
      </w:pPr>
      <w:r w:rsidRPr="55214296">
        <w:t xml:space="preserve">  </w:t>
      </w:r>
    </w:p>
    <w:p w14:paraId="563F00B4" w14:textId="4636FD63" w:rsidR="000B7AA9" w:rsidRDefault="000B7AA9" w:rsidP="55214296">
      <w:pPr>
        <w:jc w:val="center"/>
        <w:rPr>
          <w:b/>
        </w:rPr>
      </w:pPr>
      <w:r w:rsidRPr="55214296">
        <w:rPr>
          <w:b/>
        </w:rPr>
        <w:t>Table E</w:t>
      </w:r>
    </w:p>
    <w:p w14:paraId="795DFCF9" w14:textId="65A3835C" w:rsidR="000B7AA9" w:rsidRDefault="000B7AA9" w:rsidP="00FC08A2">
      <w:pPr>
        <w:tabs>
          <w:tab w:val="left" w:pos="8367"/>
        </w:tabs>
        <w:jc w:val="center"/>
        <w:rPr>
          <w:b/>
        </w:rPr>
      </w:pPr>
      <w:r w:rsidRPr="55214296">
        <w:rPr>
          <w:b/>
        </w:rPr>
        <w:t>FY 2022 and FY 2023 State-Initiated Changes</w:t>
      </w:r>
    </w:p>
    <w:tbl>
      <w:tblPr>
        <w:tblStyle w:val="TableGrid"/>
        <w:tblW w:w="0" w:type="auto"/>
        <w:tblLayout w:type="fixed"/>
        <w:tblLook w:val="05A0" w:firstRow="1" w:lastRow="0" w:firstColumn="1" w:lastColumn="1" w:noHBand="0" w:noVBand="1"/>
      </w:tblPr>
      <w:tblGrid>
        <w:gridCol w:w="6390"/>
        <w:gridCol w:w="1530"/>
        <w:gridCol w:w="1350"/>
      </w:tblGrid>
      <w:tr w:rsidR="55214296" w14:paraId="09F361BC" w14:textId="77777777" w:rsidTr="55214296">
        <w:trPr>
          <w:trHeight w:val="300"/>
        </w:trPr>
        <w:tc>
          <w:tcPr>
            <w:tcW w:w="6390" w:type="dxa"/>
            <w:tcBorders>
              <w:top w:val="single" w:sz="8" w:space="0" w:color="auto"/>
              <w:left w:val="single" w:sz="8" w:space="0" w:color="auto"/>
              <w:bottom w:val="single" w:sz="8" w:space="0" w:color="auto"/>
              <w:right w:val="single" w:sz="8" w:space="0" w:color="auto"/>
            </w:tcBorders>
            <w:shd w:val="clear" w:color="auto" w:fill="44546A"/>
            <w:tcMar>
              <w:left w:w="108" w:type="dxa"/>
              <w:right w:w="108" w:type="dxa"/>
            </w:tcMar>
          </w:tcPr>
          <w:p w14:paraId="5AD0FCE9" w14:textId="5A1E462C" w:rsidR="55214296" w:rsidRDefault="55214296" w:rsidP="55214296">
            <w:pPr>
              <w:tabs>
                <w:tab w:val="center" w:pos="1778"/>
                <w:tab w:val="left" w:pos="2691"/>
              </w:tabs>
              <w:rPr>
                <w:b/>
                <w:bCs/>
                <w:color w:val="FFFFFF" w:themeColor="background1"/>
              </w:rPr>
            </w:pPr>
            <w:r w:rsidRPr="55214296">
              <w:rPr>
                <w:b/>
                <w:bCs/>
                <w:color w:val="FFFFFF" w:themeColor="background1"/>
              </w:rPr>
              <w:t>State-Initiated Change</w:t>
            </w:r>
          </w:p>
        </w:tc>
        <w:tc>
          <w:tcPr>
            <w:tcW w:w="1530" w:type="dxa"/>
            <w:tcBorders>
              <w:top w:val="single" w:sz="8" w:space="0" w:color="auto"/>
              <w:left w:val="single" w:sz="8" w:space="0" w:color="auto"/>
              <w:bottom w:val="single" w:sz="8" w:space="0" w:color="auto"/>
              <w:right w:val="single" w:sz="8" w:space="0" w:color="auto"/>
            </w:tcBorders>
            <w:shd w:val="clear" w:color="auto" w:fill="44546A"/>
            <w:tcMar>
              <w:left w:w="108" w:type="dxa"/>
              <w:right w:w="108" w:type="dxa"/>
            </w:tcMar>
          </w:tcPr>
          <w:p w14:paraId="2A93CBEF" w14:textId="4EE8C966" w:rsidR="55214296" w:rsidRDefault="55214296" w:rsidP="55214296">
            <w:pPr>
              <w:rPr>
                <w:b/>
                <w:bCs/>
                <w:color w:val="FFFFFF" w:themeColor="background1"/>
              </w:rPr>
            </w:pPr>
            <w:r w:rsidRPr="55214296">
              <w:rPr>
                <w:b/>
                <w:bCs/>
                <w:color w:val="FFFFFF" w:themeColor="background1"/>
              </w:rPr>
              <w:t>Adoption Date</w:t>
            </w:r>
          </w:p>
        </w:tc>
        <w:tc>
          <w:tcPr>
            <w:tcW w:w="1350" w:type="dxa"/>
            <w:tcBorders>
              <w:top w:val="single" w:sz="8" w:space="0" w:color="auto"/>
              <w:left w:val="single" w:sz="8" w:space="0" w:color="auto"/>
              <w:bottom w:val="single" w:sz="8" w:space="0" w:color="auto"/>
              <w:right w:val="single" w:sz="8" w:space="0" w:color="auto"/>
            </w:tcBorders>
            <w:shd w:val="clear" w:color="auto" w:fill="44546A"/>
            <w:tcMar>
              <w:left w:w="108" w:type="dxa"/>
              <w:right w:w="108" w:type="dxa"/>
            </w:tcMar>
          </w:tcPr>
          <w:p w14:paraId="743CBA9D" w14:textId="516A99CE" w:rsidR="55214296" w:rsidRDefault="55214296" w:rsidP="55214296">
            <w:pPr>
              <w:rPr>
                <w:b/>
                <w:bCs/>
                <w:color w:val="FFFFFF" w:themeColor="background1"/>
              </w:rPr>
            </w:pPr>
            <w:r w:rsidRPr="55214296">
              <w:rPr>
                <w:b/>
                <w:bCs/>
                <w:color w:val="FFFFFF" w:themeColor="background1"/>
              </w:rPr>
              <w:t>Effective Date</w:t>
            </w:r>
          </w:p>
        </w:tc>
      </w:tr>
      <w:tr w:rsidR="55214296" w14:paraId="55816273" w14:textId="77777777" w:rsidTr="55214296">
        <w:trPr>
          <w:trHeight w:val="300"/>
        </w:trPr>
        <w:tc>
          <w:tcPr>
            <w:tcW w:w="63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F699329" w14:textId="1FF49299" w:rsidR="55214296" w:rsidRDefault="55214296" w:rsidP="55214296">
            <w:r w:rsidRPr="55214296">
              <w:t>NA</w:t>
            </w:r>
          </w:p>
        </w:tc>
        <w:tc>
          <w:tcPr>
            <w:tcW w:w="1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42E015" w14:textId="424905BE" w:rsidR="55214296" w:rsidRDefault="55214296" w:rsidP="55214296">
            <w:r w:rsidRPr="55214296">
              <w:t xml:space="preserve"> </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924FE7" w14:textId="7CD5E483" w:rsidR="55214296" w:rsidRDefault="55214296" w:rsidP="55214296">
            <w:r w:rsidRPr="55214296">
              <w:t xml:space="preserve"> </w:t>
            </w:r>
          </w:p>
        </w:tc>
      </w:tr>
    </w:tbl>
    <w:p w14:paraId="2C95FFD4" w14:textId="4F234AB3" w:rsidR="55214296" w:rsidRDefault="55214296" w:rsidP="55214296">
      <w:pPr>
        <w:jc w:val="both"/>
      </w:pPr>
    </w:p>
    <w:p w14:paraId="78995570" w14:textId="77777777" w:rsidR="00384419" w:rsidRDefault="009D79D6">
      <w:pPr>
        <w:tabs>
          <w:tab w:val="left" w:pos="720"/>
          <w:tab w:val="left" w:pos="810"/>
        </w:tabs>
        <w:ind w:firstLine="360"/>
        <w:rPr>
          <w:b/>
          <w:caps/>
        </w:rPr>
      </w:pPr>
      <w:r>
        <w:rPr>
          <w:b/>
        </w:rPr>
        <w:t xml:space="preserve">5.    </w:t>
      </w:r>
      <w:r>
        <w:rPr>
          <w:b/>
          <w:caps/>
        </w:rPr>
        <w:t xml:space="preserve">Variances </w:t>
      </w:r>
    </w:p>
    <w:p w14:paraId="2D6FA878" w14:textId="77777777" w:rsidR="00384419" w:rsidRDefault="00384419">
      <w:pPr>
        <w:tabs>
          <w:tab w:val="left" w:pos="720"/>
          <w:tab w:val="left" w:pos="810"/>
        </w:tabs>
        <w:ind w:firstLine="360"/>
        <w:rPr>
          <w:b/>
          <w:caps/>
        </w:rPr>
      </w:pPr>
    </w:p>
    <w:p w14:paraId="2F9EC3F5" w14:textId="6195FBEF" w:rsidR="00384419" w:rsidRPr="00B5710E" w:rsidRDefault="009D79D6">
      <w:pPr>
        <w:ind w:left="720"/>
        <w:jc w:val="both"/>
      </w:pPr>
      <w:r w:rsidRPr="00B5710E">
        <w:t>North Carolina currently has nine permanent variances, one of which is a multi-state variance approved by OSHA.  No variances were issued by the State Plan in FY 202</w:t>
      </w:r>
      <w:r w:rsidR="00B5710E" w:rsidRPr="00B5710E">
        <w:t>2</w:t>
      </w:r>
      <w:r w:rsidRPr="00B5710E">
        <w:t>-202</w:t>
      </w:r>
      <w:r w:rsidR="00B5710E" w:rsidRPr="00B5710E">
        <w:t>3</w:t>
      </w:r>
      <w:r w:rsidRPr="00B5710E">
        <w:t xml:space="preserve">.  North Carolina does not have any temporary variances, and the State Plan appropriately shares variance requests with federal monitors.   </w:t>
      </w:r>
    </w:p>
    <w:p w14:paraId="78D068F7" w14:textId="77777777" w:rsidR="00384419" w:rsidRDefault="00384419">
      <w:pPr>
        <w:ind w:left="720"/>
        <w:rPr>
          <w:sz w:val="22"/>
          <w:szCs w:val="22"/>
        </w:rPr>
      </w:pPr>
    </w:p>
    <w:p w14:paraId="6E57B933" w14:textId="77777777" w:rsidR="00384419" w:rsidRDefault="009D79D6">
      <w:pPr>
        <w:ind w:left="1530" w:hanging="1170"/>
        <w:rPr>
          <w:b/>
          <w:caps/>
        </w:rPr>
      </w:pPr>
      <w:r>
        <w:rPr>
          <w:b/>
        </w:rPr>
        <w:t xml:space="preserve">6.    </w:t>
      </w:r>
      <w:r>
        <w:rPr>
          <w:b/>
          <w:caps/>
        </w:rPr>
        <w:t>STATE AND LOCAL government WORKER Program</w:t>
      </w:r>
    </w:p>
    <w:p w14:paraId="3668C1E7" w14:textId="77777777" w:rsidR="00384419" w:rsidRDefault="00384419">
      <w:pPr>
        <w:pStyle w:val="NoSpacing"/>
        <w:ind w:left="720"/>
        <w:jc w:val="both"/>
        <w:rPr>
          <w:b/>
          <w:caps/>
        </w:rPr>
      </w:pPr>
    </w:p>
    <w:p w14:paraId="2821A92C" w14:textId="0B8E71CC" w:rsidR="00D4447C" w:rsidRDefault="009D79D6">
      <w:pPr>
        <w:pStyle w:val="NoSpacing"/>
        <w:ind w:left="720"/>
        <w:jc w:val="both"/>
        <w:rPr>
          <w:rFonts w:ascii="Times New Roman" w:hAnsi="Times New Roman"/>
          <w:sz w:val="24"/>
          <w:szCs w:val="24"/>
        </w:rPr>
      </w:pPr>
      <w:r w:rsidRPr="0079608D">
        <w:rPr>
          <w:rFonts w:ascii="Times New Roman" w:hAnsi="Times New Roman"/>
          <w:sz w:val="24"/>
          <w:szCs w:val="24"/>
        </w:rPr>
        <w:t>OSHNC’s Public Employee Program operates identically as the private sector.  As with the private sector, state and local government employers can be cited with monetary penalties.  The penalty structure for both sectors is the same.  OSHNC conducted 1</w:t>
      </w:r>
      <w:r w:rsidR="003F59F6">
        <w:rPr>
          <w:rFonts w:ascii="Times New Roman" w:hAnsi="Times New Roman"/>
          <w:sz w:val="24"/>
          <w:szCs w:val="24"/>
        </w:rPr>
        <w:t>18</w:t>
      </w:r>
      <w:r w:rsidRPr="0079608D">
        <w:rPr>
          <w:rFonts w:ascii="Times New Roman" w:hAnsi="Times New Roman"/>
          <w:sz w:val="24"/>
          <w:szCs w:val="24"/>
        </w:rPr>
        <w:t xml:space="preserve"> state and local government agency inspections in </w:t>
      </w:r>
      <w:r w:rsidR="00C510E1" w:rsidRPr="0079608D">
        <w:rPr>
          <w:rFonts w:ascii="Times New Roman" w:hAnsi="Times New Roman"/>
          <w:sz w:val="24"/>
          <w:szCs w:val="24"/>
        </w:rPr>
        <w:t>FY 2023</w:t>
      </w:r>
      <w:r w:rsidRPr="0079608D">
        <w:rPr>
          <w:rFonts w:ascii="Times New Roman" w:hAnsi="Times New Roman"/>
          <w:sz w:val="24"/>
          <w:szCs w:val="24"/>
        </w:rPr>
        <w:t xml:space="preserve">, which accounted for </w:t>
      </w:r>
      <w:r w:rsidR="0079608D" w:rsidRPr="0079608D">
        <w:rPr>
          <w:rFonts w:ascii="Times New Roman" w:hAnsi="Times New Roman"/>
          <w:sz w:val="24"/>
          <w:szCs w:val="24"/>
        </w:rPr>
        <w:t>6</w:t>
      </w:r>
      <w:r w:rsidRPr="0079608D">
        <w:rPr>
          <w:rFonts w:ascii="Times New Roman" w:hAnsi="Times New Roman"/>
          <w:sz w:val="24"/>
          <w:szCs w:val="24"/>
        </w:rPr>
        <w:t>.</w:t>
      </w:r>
      <w:r w:rsidR="0079608D" w:rsidRPr="0079608D">
        <w:rPr>
          <w:rFonts w:ascii="Times New Roman" w:hAnsi="Times New Roman"/>
          <w:sz w:val="24"/>
          <w:szCs w:val="24"/>
        </w:rPr>
        <w:t>81</w:t>
      </w:r>
      <w:r w:rsidRPr="0079608D">
        <w:rPr>
          <w:rFonts w:ascii="Times New Roman" w:hAnsi="Times New Roman"/>
          <w:sz w:val="24"/>
          <w:szCs w:val="24"/>
        </w:rPr>
        <w:t xml:space="preserve">% of all inspections.  </w:t>
      </w:r>
      <w:r w:rsidRPr="0079608D">
        <w:rPr>
          <w:rFonts w:ascii="Times New Roman" w:eastAsia="Calibri" w:hAnsi="Times New Roman"/>
          <w:sz w:val="24"/>
          <w:szCs w:val="24"/>
        </w:rPr>
        <w:t>The Planning Statistics and Information Management (PSIM) Bureau mailed 3,</w:t>
      </w:r>
      <w:r w:rsidR="0079608D" w:rsidRPr="0079608D">
        <w:rPr>
          <w:rFonts w:ascii="Times New Roman" w:eastAsia="Calibri" w:hAnsi="Times New Roman"/>
          <w:sz w:val="24"/>
          <w:szCs w:val="24"/>
        </w:rPr>
        <w:t>287</w:t>
      </w:r>
      <w:r w:rsidRPr="0079608D">
        <w:rPr>
          <w:rFonts w:ascii="Times New Roman" w:eastAsia="Calibri" w:hAnsi="Times New Roman"/>
          <w:sz w:val="24"/>
          <w:szCs w:val="24"/>
        </w:rPr>
        <w:t xml:space="preserve"> surveys to state and local government employers (collection of calendar year 202</w:t>
      </w:r>
      <w:r w:rsidR="0079608D" w:rsidRPr="0079608D">
        <w:rPr>
          <w:rFonts w:ascii="Times New Roman" w:eastAsia="Calibri" w:hAnsi="Times New Roman"/>
          <w:sz w:val="24"/>
          <w:szCs w:val="24"/>
        </w:rPr>
        <w:t>2</w:t>
      </w:r>
      <w:r w:rsidRPr="0079608D">
        <w:rPr>
          <w:rFonts w:ascii="Times New Roman" w:eastAsia="Calibri" w:hAnsi="Times New Roman"/>
          <w:sz w:val="24"/>
          <w:szCs w:val="24"/>
        </w:rPr>
        <w:t xml:space="preserve"> injury and illness data).  As of the end of </w:t>
      </w:r>
      <w:r w:rsidR="00C510E1" w:rsidRPr="0079608D">
        <w:rPr>
          <w:rFonts w:ascii="Times New Roman" w:eastAsia="Calibri" w:hAnsi="Times New Roman"/>
          <w:sz w:val="24"/>
          <w:szCs w:val="24"/>
        </w:rPr>
        <w:t>FY 2023</w:t>
      </w:r>
      <w:r w:rsidRPr="0079608D">
        <w:rPr>
          <w:rFonts w:ascii="Times New Roman" w:eastAsia="Calibri" w:hAnsi="Times New Roman"/>
          <w:sz w:val="24"/>
          <w:szCs w:val="24"/>
        </w:rPr>
        <w:t xml:space="preserve">, </w:t>
      </w:r>
      <w:r w:rsidR="0079608D" w:rsidRPr="0079608D">
        <w:rPr>
          <w:rFonts w:ascii="Times New Roman" w:eastAsia="Calibri" w:hAnsi="Times New Roman"/>
          <w:sz w:val="24"/>
          <w:szCs w:val="24"/>
        </w:rPr>
        <w:t xml:space="preserve">2,995 </w:t>
      </w:r>
      <w:r w:rsidRPr="0079608D">
        <w:rPr>
          <w:rFonts w:ascii="Times New Roman" w:eastAsia="Calibri" w:hAnsi="Times New Roman"/>
          <w:sz w:val="24"/>
          <w:szCs w:val="24"/>
        </w:rPr>
        <w:t>survey responses were received with a 9</w:t>
      </w:r>
      <w:r w:rsidR="0079608D" w:rsidRPr="0079608D">
        <w:rPr>
          <w:rFonts w:ascii="Times New Roman" w:eastAsia="Calibri" w:hAnsi="Times New Roman"/>
          <w:sz w:val="24"/>
          <w:szCs w:val="24"/>
        </w:rPr>
        <w:t>6.1</w:t>
      </w:r>
      <w:r w:rsidRPr="0079608D">
        <w:rPr>
          <w:rFonts w:ascii="Times New Roman" w:eastAsia="Calibri" w:hAnsi="Times New Roman"/>
          <w:sz w:val="24"/>
          <w:szCs w:val="24"/>
        </w:rPr>
        <w:t>% response rate, w</w:t>
      </w:r>
      <w:r w:rsidRPr="0079608D">
        <w:rPr>
          <w:rFonts w:ascii="Times New Roman" w:hAnsi="Times New Roman"/>
          <w:sz w:val="24"/>
          <w:szCs w:val="24"/>
        </w:rPr>
        <w:t>here the data as provided can be used to calculate injury and illness rates, and for targeting purposes</w:t>
      </w:r>
      <w:r w:rsidR="0079608D">
        <w:rPr>
          <w:rFonts w:ascii="Times New Roman" w:hAnsi="Times New Roman"/>
          <w:sz w:val="24"/>
          <w:szCs w:val="24"/>
        </w:rPr>
        <w:t>.</w:t>
      </w:r>
    </w:p>
    <w:p w14:paraId="02936928" w14:textId="77777777" w:rsidR="0079608D" w:rsidRPr="0079608D" w:rsidRDefault="0079608D">
      <w:pPr>
        <w:pStyle w:val="NoSpacing"/>
        <w:ind w:left="720"/>
        <w:jc w:val="both"/>
        <w:rPr>
          <w:rFonts w:ascii="Times New Roman" w:hAnsi="Times New Roman"/>
          <w:sz w:val="24"/>
          <w:szCs w:val="24"/>
        </w:rPr>
      </w:pPr>
    </w:p>
    <w:p w14:paraId="5EEF5DA9" w14:textId="77777777" w:rsidR="00384419" w:rsidRPr="00016714" w:rsidRDefault="009D79D6">
      <w:pPr>
        <w:pStyle w:val="NoSpacing"/>
        <w:ind w:left="720"/>
        <w:jc w:val="both"/>
        <w:rPr>
          <w:rFonts w:ascii="Times New Roman" w:hAnsi="Times New Roman"/>
          <w:sz w:val="24"/>
          <w:szCs w:val="24"/>
        </w:rPr>
      </w:pPr>
      <w:bookmarkStart w:id="12" w:name="_Hlk155208016"/>
      <w:r w:rsidRPr="00016714">
        <w:rPr>
          <w:rFonts w:ascii="Times New Roman" w:hAnsi="Times New Roman"/>
          <w:sz w:val="24"/>
          <w:szCs w:val="24"/>
        </w:rPr>
        <w:t>The following table outlines the total number of violations for programmed activity, as well as the in-compliance rate and the percentage of SWR violations for state and local government agencies:</w:t>
      </w:r>
    </w:p>
    <w:p w14:paraId="1FE9163B" w14:textId="77777777" w:rsidR="00384419" w:rsidRDefault="00384419">
      <w:pPr>
        <w:pStyle w:val="NoSpacing"/>
        <w:jc w:val="both"/>
        <w:rPr>
          <w:rFonts w:ascii="Times New Roman" w:hAnsi="Times New Roman"/>
          <w:sz w:val="24"/>
          <w:szCs w:val="24"/>
        </w:rPr>
      </w:pPr>
    </w:p>
    <w:tbl>
      <w:tblPr>
        <w:tblStyle w:val="TableGrid"/>
        <w:tblpPr w:leftFromText="180" w:rightFromText="180" w:vertAnchor="text" w:horzAnchor="margin" w:tblpXSpec="center" w:tblpY="180"/>
        <w:tblW w:w="4402" w:type="dxa"/>
        <w:tblLook w:val="04A0" w:firstRow="1" w:lastRow="0" w:firstColumn="1" w:lastColumn="0" w:noHBand="0" w:noVBand="1"/>
      </w:tblPr>
      <w:tblGrid>
        <w:gridCol w:w="2869"/>
        <w:gridCol w:w="1533"/>
      </w:tblGrid>
      <w:tr w:rsidR="00366B2D" w:rsidRPr="003F59F6" w14:paraId="195B3683" w14:textId="77777777" w:rsidTr="00366B2D">
        <w:trPr>
          <w:trHeight w:val="350"/>
        </w:trPr>
        <w:tc>
          <w:tcPr>
            <w:tcW w:w="2869" w:type="dxa"/>
          </w:tcPr>
          <w:p w14:paraId="284FB015" w14:textId="77777777" w:rsidR="00366B2D" w:rsidRPr="003F59F6" w:rsidRDefault="00366B2D" w:rsidP="00366B2D">
            <w:pPr>
              <w:rPr>
                <w:b/>
              </w:rPr>
            </w:pPr>
            <w:r w:rsidRPr="003F59F6">
              <w:rPr>
                <w:b/>
                <w:bCs/>
              </w:rPr>
              <w:t>All State and Local Government Agency Programmed Inspections</w:t>
            </w:r>
          </w:p>
        </w:tc>
        <w:tc>
          <w:tcPr>
            <w:tcW w:w="1533" w:type="dxa"/>
          </w:tcPr>
          <w:p w14:paraId="1422E295" w14:textId="77777777" w:rsidR="00366B2D" w:rsidRPr="003F59F6" w:rsidRDefault="00366B2D" w:rsidP="00366B2D">
            <w:pPr>
              <w:rPr>
                <w:b/>
              </w:rPr>
            </w:pPr>
            <w:r w:rsidRPr="003F59F6">
              <w:rPr>
                <w:b/>
              </w:rPr>
              <w:t>OSHNC</w:t>
            </w:r>
          </w:p>
        </w:tc>
      </w:tr>
      <w:tr w:rsidR="00366B2D" w:rsidRPr="003F59F6" w14:paraId="16226434" w14:textId="77777777" w:rsidTr="00366B2D">
        <w:trPr>
          <w:trHeight w:val="508"/>
        </w:trPr>
        <w:tc>
          <w:tcPr>
            <w:tcW w:w="2869" w:type="dxa"/>
            <w:vAlign w:val="center"/>
          </w:tcPr>
          <w:p w14:paraId="5B4704E6" w14:textId="77777777" w:rsidR="00366B2D" w:rsidRPr="003F59F6" w:rsidRDefault="00366B2D" w:rsidP="00366B2D">
            <w:r w:rsidRPr="003F59F6">
              <w:t>Average number of violations</w:t>
            </w:r>
          </w:p>
        </w:tc>
        <w:tc>
          <w:tcPr>
            <w:tcW w:w="1533" w:type="dxa"/>
            <w:vAlign w:val="center"/>
          </w:tcPr>
          <w:p w14:paraId="4E93C611" w14:textId="77777777" w:rsidR="00366B2D" w:rsidRPr="003F59F6" w:rsidRDefault="00366B2D" w:rsidP="00366B2D">
            <w:pPr>
              <w:jc w:val="center"/>
            </w:pPr>
            <w:r w:rsidRPr="003F59F6">
              <w:t>3.27</w:t>
            </w:r>
          </w:p>
        </w:tc>
      </w:tr>
      <w:tr w:rsidR="00366B2D" w:rsidRPr="003F59F6" w14:paraId="4E2BAB7A" w14:textId="77777777" w:rsidTr="00366B2D">
        <w:trPr>
          <w:trHeight w:val="481"/>
        </w:trPr>
        <w:tc>
          <w:tcPr>
            <w:tcW w:w="2869" w:type="dxa"/>
            <w:vAlign w:val="center"/>
          </w:tcPr>
          <w:p w14:paraId="406AD331" w14:textId="77777777" w:rsidR="00366B2D" w:rsidRPr="003F59F6" w:rsidRDefault="00366B2D" w:rsidP="00366B2D">
            <w:r w:rsidRPr="003F59F6">
              <w:t>In-Compliance Rate</w:t>
            </w:r>
          </w:p>
        </w:tc>
        <w:tc>
          <w:tcPr>
            <w:tcW w:w="1533" w:type="dxa"/>
            <w:vAlign w:val="center"/>
          </w:tcPr>
          <w:p w14:paraId="5D34D065" w14:textId="77777777" w:rsidR="00366B2D" w:rsidRPr="003F59F6" w:rsidRDefault="00366B2D" w:rsidP="00366B2D">
            <w:pPr>
              <w:jc w:val="center"/>
            </w:pPr>
            <w:r w:rsidRPr="003F59F6">
              <w:t>40.7%</w:t>
            </w:r>
          </w:p>
        </w:tc>
      </w:tr>
      <w:tr w:rsidR="00366B2D" w:rsidRPr="003F59F6" w14:paraId="69069E26" w14:textId="77777777" w:rsidTr="00366B2D">
        <w:trPr>
          <w:trHeight w:val="715"/>
        </w:trPr>
        <w:tc>
          <w:tcPr>
            <w:tcW w:w="2869" w:type="dxa"/>
            <w:vAlign w:val="center"/>
          </w:tcPr>
          <w:p w14:paraId="7C5E39AA" w14:textId="77777777" w:rsidR="00366B2D" w:rsidRPr="003F59F6" w:rsidRDefault="00366B2D" w:rsidP="00366B2D">
            <w:r w:rsidRPr="003F59F6">
              <w:t>% Violations classified as Serious, Repeat, and Willful</w:t>
            </w:r>
          </w:p>
        </w:tc>
        <w:tc>
          <w:tcPr>
            <w:tcW w:w="1533" w:type="dxa"/>
            <w:vAlign w:val="center"/>
          </w:tcPr>
          <w:p w14:paraId="45D72080" w14:textId="77777777" w:rsidR="00366B2D" w:rsidRPr="003F59F6" w:rsidRDefault="00366B2D" w:rsidP="00366B2D">
            <w:pPr>
              <w:jc w:val="center"/>
            </w:pPr>
            <w:r w:rsidRPr="003F59F6">
              <w:t>31.4%</w:t>
            </w:r>
          </w:p>
        </w:tc>
      </w:tr>
    </w:tbl>
    <w:p w14:paraId="37745012" w14:textId="77777777" w:rsidR="00366B2D" w:rsidRDefault="00366B2D">
      <w:pPr>
        <w:pStyle w:val="NoSpacing"/>
        <w:jc w:val="both"/>
        <w:rPr>
          <w:rFonts w:ascii="Times New Roman" w:hAnsi="Times New Roman"/>
          <w:sz w:val="24"/>
          <w:szCs w:val="24"/>
        </w:rPr>
      </w:pPr>
    </w:p>
    <w:p w14:paraId="5473CEDF" w14:textId="77777777" w:rsidR="00366B2D" w:rsidRDefault="00366B2D">
      <w:pPr>
        <w:pStyle w:val="NoSpacing"/>
        <w:jc w:val="both"/>
        <w:rPr>
          <w:rFonts w:ascii="Times New Roman" w:hAnsi="Times New Roman"/>
          <w:sz w:val="24"/>
          <w:szCs w:val="24"/>
        </w:rPr>
      </w:pPr>
    </w:p>
    <w:p w14:paraId="5A2242D7" w14:textId="77777777" w:rsidR="00366B2D" w:rsidRDefault="00366B2D">
      <w:pPr>
        <w:pStyle w:val="NoSpacing"/>
        <w:jc w:val="both"/>
        <w:rPr>
          <w:rFonts w:ascii="Times New Roman" w:hAnsi="Times New Roman"/>
          <w:sz w:val="24"/>
          <w:szCs w:val="24"/>
        </w:rPr>
      </w:pPr>
    </w:p>
    <w:p w14:paraId="78B61495" w14:textId="77777777" w:rsidR="00366B2D" w:rsidRDefault="00366B2D">
      <w:pPr>
        <w:pStyle w:val="NoSpacing"/>
        <w:jc w:val="both"/>
        <w:rPr>
          <w:rFonts w:ascii="Times New Roman" w:hAnsi="Times New Roman"/>
          <w:sz w:val="24"/>
          <w:szCs w:val="24"/>
        </w:rPr>
      </w:pPr>
    </w:p>
    <w:p w14:paraId="6CD7B30D" w14:textId="77777777" w:rsidR="00366B2D" w:rsidRDefault="00366B2D">
      <w:pPr>
        <w:pStyle w:val="NoSpacing"/>
        <w:jc w:val="both"/>
        <w:rPr>
          <w:rFonts w:ascii="Times New Roman" w:hAnsi="Times New Roman"/>
          <w:sz w:val="24"/>
          <w:szCs w:val="24"/>
        </w:rPr>
      </w:pPr>
    </w:p>
    <w:p w14:paraId="3F9AF800" w14:textId="77777777" w:rsidR="00366B2D" w:rsidRDefault="00366B2D">
      <w:pPr>
        <w:pStyle w:val="NoSpacing"/>
        <w:jc w:val="both"/>
        <w:rPr>
          <w:rFonts w:ascii="Times New Roman" w:hAnsi="Times New Roman"/>
          <w:sz w:val="24"/>
          <w:szCs w:val="24"/>
        </w:rPr>
      </w:pPr>
    </w:p>
    <w:p w14:paraId="18A517D8" w14:textId="77777777" w:rsidR="00366B2D" w:rsidRDefault="00366B2D">
      <w:pPr>
        <w:pStyle w:val="NoSpacing"/>
        <w:jc w:val="both"/>
        <w:rPr>
          <w:rFonts w:ascii="Times New Roman" w:hAnsi="Times New Roman"/>
          <w:sz w:val="24"/>
          <w:szCs w:val="24"/>
        </w:rPr>
      </w:pPr>
    </w:p>
    <w:p w14:paraId="08243116" w14:textId="77777777" w:rsidR="00366B2D" w:rsidRDefault="00366B2D">
      <w:pPr>
        <w:pStyle w:val="NoSpacing"/>
        <w:jc w:val="both"/>
        <w:rPr>
          <w:rFonts w:ascii="Times New Roman" w:hAnsi="Times New Roman"/>
          <w:sz w:val="24"/>
          <w:szCs w:val="24"/>
        </w:rPr>
      </w:pPr>
    </w:p>
    <w:p w14:paraId="3424EAE4" w14:textId="77777777" w:rsidR="00366B2D" w:rsidRDefault="00366B2D">
      <w:pPr>
        <w:pStyle w:val="NoSpacing"/>
        <w:jc w:val="both"/>
        <w:rPr>
          <w:rFonts w:ascii="Times New Roman" w:hAnsi="Times New Roman"/>
          <w:sz w:val="24"/>
          <w:szCs w:val="24"/>
        </w:rPr>
      </w:pPr>
    </w:p>
    <w:p w14:paraId="33DFE2CD" w14:textId="77777777" w:rsidR="00366B2D" w:rsidRDefault="00366B2D">
      <w:pPr>
        <w:pStyle w:val="NoSpacing"/>
        <w:jc w:val="both"/>
        <w:rPr>
          <w:rFonts w:ascii="Times New Roman" w:hAnsi="Times New Roman"/>
          <w:sz w:val="24"/>
          <w:szCs w:val="24"/>
        </w:rPr>
      </w:pPr>
    </w:p>
    <w:bookmarkEnd w:id="12"/>
    <w:p w14:paraId="5258E7D7" w14:textId="41D43B4D" w:rsidR="00C90CD5" w:rsidRDefault="00C90CD5">
      <w:pPr>
        <w:ind w:left="1530" w:hanging="1170"/>
        <w:rPr>
          <w:b/>
        </w:rPr>
      </w:pPr>
    </w:p>
    <w:p w14:paraId="4D2C856D" w14:textId="5293EAA8" w:rsidR="00384419" w:rsidRDefault="009D79D6">
      <w:pPr>
        <w:ind w:left="1530" w:hanging="1170"/>
        <w:rPr>
          <w:b/>
          <w:caps/>
        </w:rPr>
      </w:pPr>
      <w:r>
        <w:rPr>
          <w:b/>
        </w:rPr>
        <w:t xml:space="preserve">7.   WHISTLEBLOWER </w:t>
      </w:r>
      <w:r>
        <w:rPr>
          <w:b/>
          <w:caps/>
        </w:rPr>
        <w:t>Program</w:t>
      </w:r>
    </w:p>
    <w:p w14:paraId="40078917" w14:textId="77777777" w:rsidR="00384419" w:rsidRDefault="00384419">
      <w:pPr>
        <w:ind w:left="1530" w:hanging="1170"/>
        <w:rPr>
          <w:b/>
          <w:caps/>
        </w:rPr>
      </w:pPr>
    </w:p>
    <w:p w14:paraId="6487B9D1" w14:textId="77777777" w:rsidR="00C06BA4" w:rsidRPr="00797FD5" w:rsidRDefault="00C06BA4" w:rsidP="00C06BA4">
      <w:pPr>
        <w:pStyle w:val="NoSpacing"/>
        <w:ind w:left="720"/>
        <w:jc w:val="both"/>
        <w:rPr>
          <w:rFonts w:ascii="Times New Roman" w:hAnsi="Times New Roman"/>
          <w:b/>
          <w:bCs/>
          <w:sz w:val="24"/>
          <w:szCs w:val="24"/>
        </w:rPr>
      </w:pPr>
      <w:r w:rsidRPr="00797FD5">
        <w:rPr>
          <w:rFonts w:ascii="Times New Roman" w:hAnsi="Times New Roman"/>
          <w:b/>
          <w:bCs/>
          <w:sz w:val="24"/>
          <w:szCs w:val="24"/>
        </w:rPr>
        <w:t>Overview</w:t>
      </w:r>
    </w:p>
    <w:p w14:paraId="45F08135" w14:textId="77777777" w:rsidR="00C06BA4" w:rsidRPr="002D53CC" w:rsidRDefault="00C06BA4" w:rsidP="00C06BA4">
      <w:pPr>
        <w:pStyle w:val="NoSpacing"/>
        <w:ind w:left="720"/>
        <w:jc w:val="both"/>
        <w:rPr>
          <w:rFonts w:ascii="Times New Roman" w:hAnsi="Times New Roman"/>
          <w:sz w:val="24"/>
          <w:szCs w:val="24"/>
        </w:rPr>
      </w:pPr>
    </w:p>
    <w:p w14:paraId="3699B8E1" w14:textId="77777777" w:rsidR="00C06BA4" w:rsidRPr="002D53CC" w:rsidRDefault="00C06BA4" w:rsidP="00C06BA4">
      <w:pPr>
        <w:pStyle w:val="NoSpacing"/>
        <w:ind w:left="720"/>
        <w:jc w:val="both"/>
        <w:rPr>
          <w:rFonts w:ascii="Times New Roman" w:hAnsi="Times New Roman"/>
          <w:sz w:val="24"/>
          <w:szCs w:val="24"/>
        </w:rPr>
      </w:pPr>
      <w:r w:rsidRPr="002D53CC">
        <w:rPr>
          <w:rFonts w:ascii="Times New Roman" w:hAnsi="Times New Roman"/>
          <w:sz w:val="24"/>
          <w:szCs w:val="24"/>
        </w:rPr>
        <w:t xml:space="preserve">The Retaliatory Employment Discrimination Bureau (REDB) of the North Carolina Department of Labor (NCDOL) is charged with enforcing the North Carolina Retaliatory Employment Discrimination Act (REDA). [N.C. Gen. Stat. § 95-240 </w:t>
      </w:r>
      <w:r w:rsidRPr="002D53CC">
        <w:rPr>
          <w:rFonts w:ascii="Times New Roman" w:hAnsi="Times New Roman"/>
          <w:i/>
          <w:sz w:val="24"/>
          <w:szCs w:val="24"/>
        </w:rPr>
        <w:t>et seq.</w:t>
      </w:r>
      <w:r w:rsidRPr="002D53CC">
        <w:rPr>
          <w:rFonts w:ascii="Times New Roman" w:hAnsi="Times New Roman"/>
          <w:sz w:val="24"/>
          <w:szCs w:val="24"/>
        </w:rPr>
        <w:t xml:space="preserve">]. North Carolina is one of 28 states operating a “State Plan” with federal OSHA.  Complaints filed under Section 11(c) of the Occupational Safety and Health Act of 1970 (OSH Act), [29 U.S.C. § 660(c)] which allege </w:t>
      </w:r>
      <w:r w:rsidRPr="002D53CC">
        <w:rPr>
          <w:rFonts w:ascii="Times New Roman" w:hAnsi="Times New Roman"/>
          <w:sz w:val="24"/>
          <w:szCs w:val="24"/>
        </w:rPr>
        <w:lastRenderedPageBreak/>
        <w:t xml:space="preserve">retaliation because the employee exercised a protected safety and health activity occurring in North Carolina are referred to the REDB of NCDOL.  REDB contacts each complainant and provides them with the REDB Complaint Form and OSH Addendum should they also wish to file a complaint under REDA. REDB will then review the complaint to determine if NCDOL has jurisdiction and if the allegations of the complaint state a prima facie case under REDA.  </w:t>
      </w:r>
    </w:p>
    <w:p w14:paraId="4256556C" w14:textId="77777777" w:rsidR="00C06BA4" w:rsidRPr="002D53CC" w:rsidRDefault="00C06BA4" w:rsidP="00C06BA4">
      <w:pPr>
        <w:pStyle w:val="NoSpacing"/>
        <w:ind w:left="720"/>
        <w:jc w:val="both"/>
        <w:rPr>
          <w:rFonts w:ascii="Times New Roman" w:hAnsi="Times New Roman"/>
          <w:sz w:val="24"/>
          <w:szCs w:val="24"/>
        </w:rPr>
      </w:pPr>
    </w:p>
    <w:p w14:paraId="0517E73B" w14:textId="77777777" w:rsidR="00C06BA4" w:rsidRPr="002D53CC" w:rsidRDefault="00C06BA4" w:rsidP="00C06BA4">
      <w:pPr>
        <w:pStyle w:val="NoSpacing"/>
        <w:ind w:left="720"/>
        <w:jc w:val="both"/>
        <w:rPr>
          <w:rFonts w:ascii="Times New Roman" w:hAnsi="Times New Roman"/>
          <w:sz w:val="24"/>
          <w:szCs w:val="24"/>
        </w:rPr>
      </w:pPr>
      <w:r w:rsidRPr="002D53CC">
        <w:rPr>
          <w:rFonts w:ascii="Times New Roman" w:hAnsi="Times New Roman"/>
          <w:sz w:val="24"/>
          <w:szCs w:val="24"/>
        </w:rPr>
        <w:t xml:space="preserve">Organizationally, REDB falls under the Standards and Inspections Division of the North Carolina Department of Labor.  Phil Hooper is the Deputy Commissioner of Standards and Inspections. Jennifer Haigwood is the Deputy Commissioner of the Occupational Safety and Health Division and is responsible for ensuring effective communication and coordination between REDB and NC OSH in their efforts to promote workplace safety and health and protection from retaliation.  </w:t>
      </w:r>
    </w:p>
    <w:p w14:paraId="010E717E" w14:textId="77777777" w:rsidR="00C06BA4" w:rsidRPr="002D53CC" w:rsidRDefault="00C06BA4" w:rsidP="00C06BA4">
      <w:pPr>
        <w:pStyle w:val="NoSpacing"/>
        <w:ind w:left="720"/>
        <w:jc w:val="both"/>
        <w:rPr>
          <w:rFonts w:ascii="Times New Roman" w:hAnsi="Times New Roman"/>
          <w:sz w:val="24"/>
          <w:szCs w:val="24"/>
        </w:rPr>
      </w:pPr>
    </w:p>
    <w:p w14:paraId="2224A4F3" w14:textId="77777777" w:rsidR="00C06BA4" w:rsidRPr="002D53CC" w:rsidRDefault="00C06BA4" w:rsidP="00C06BA4">
      <w:pPr>
        <w:pStyle w:val="NoSpacing"/>
        <w:ind w:left="720"/>
        <w:jc w:val="both"/>
        <w:rPr>
          <w:rFonts w:ascii="Times New Roman" w:hAnsi="Times New Roman"/>
          <w:sz w:val="24"/>
          <w:szCs w:val="24"/>
        </w:rPr>
      </w:pPr>
      <w:r w:rsidRPr="002D53CC">
        <w:rPr>
          <w:rFonts w:ascii="Times New Roman" w:hAnsi="Times New Roman"/>
          <w:sz w:val="24"/>
          <w:szCs w:val="24"/>
        </w:rPr>
        <w:t xml:space="preserve">REDA prohibits retaliation by employers against employees who engage in protected activities under eleven protected activity statutes incorporated into REDA, one of which is the North Carolina Occupational Safety and Health Act. [N.C. Gen. Stat. § 95-126 </w:t>
      </w:r>
      <w:r w:rsidRPr="002D53CC">
        <w:rPr>
          <w:rFonts w:ascii="Times New Roman" w:hAnsi="Times New Roman"/>
          <w:i/>
          <w:sz w:val="24"/>
          <w:szCs w:val="24"/>
        </w:rPr>
        <w:t>et seq</w:t>
      </w:r>
      <w:r w:rsidRPr="002D53CC">
        <w:rPr>
          <w:rFonts w:ascii="Times New Roman" w:hAnsi="Times New Roman"/>
          <w:sz w:val="24"/>
          <w:szCs w:val="24"/>
        </w:rPr>
        <w:t xml:space="preserve">.].  This is comparable to Federal OSHA protection from retaliation, under Section 11(c) noted above. </w:t>
      </w:r>
    </w:p>
    <w:p w14:paraId="72D8BE44" w14:textId="77777777" w:rsidR="00C06BA4" w:rsidRDefault="00C06BA4" w:rsidP="00C06BA4">
      <w:pPr>
        <w:pStyle w:val="NoSpacing"/>
        <w:ind w:left="720"/>
        <w:jc w:val="both"/>
        <w:rPr>
          <w:rFonts w:ascii="Times New Roman" w:hAnsi="Times New Roman"/>
          <w:sz w:val="24"/>
          <w:szCs w:val="24"/>
        </w:rPr>
      </w:pPr>
    </w:p>
    <w:p w14:paraId="000820B2" w14:textId="4C15817A" w:rsidR="00C06BA4" w:rsidRPr="002D53CC" w:rsidRDefault="00C06BA4" w:rsidP="00C06BA4">
      <w:pPr>
        <w:pStyle w:val="NoSpacing"/>
        <w:ind w:left="720"/>
        <w:jc w:val="both"/>
        <w:rPr>
          <w:rFonts w:ascii="Times New Roman" w:hAnsi="Times New Roman"/>
          <w:sz w:val="24"/>
          <w:szCs w:val="24"/>
        </w:rPr>
      </w:pPr>
      <w:r w:rsidRPr="002D53CC">
        <w:rPr>
          <w:rFonts w:ascii="Times New Roman" w:hAnsi="Times New Roman"/>
          <w:sz w:val="24"/>
          <w:szCs w:val="24"/>
        </w:rPr>
        <w:t>The REDB currently</w:t>
      </w:r>
      <w:r>
        <w:rPr>
          <w:rFonts w:ascii="Times New Roman" w:hAnsi="Times New Roman"/>
          <w:sz w:val="24"/>
          <w:szCs w:val="24"/>
        </w:rPr>
        <w:t xml:space="preserve"> </w:t>
      </w:r>
      <w:r w:rsidRPr="002D53CC">
        <w:rPr>
          <w:rFonts w:ascii="Times New Roman" w:hAnsi="Times New Roman"/>
          <w:sz w:val="24"/>
          <w:szCs w:val="24"/>
        </w:rPr>
        <w:t xml:space="preserve">has eight discrimination investigator positions and two administrative staff positions.  All staff currently report to the Old Revenue Building in Raleigh, NC.  The program is supervised by an Administrator (formerly “Bureau Chief”).  Each investigator is required to complete the OSHA 1420 course and three other related whistleblower training courses.  Because of the COVID pandemic, training offerings have been virtual but </w:t>
      </w:r>
      <w:r w:rsidR="007D6E3C" w:rsidRPr="002D53CC">
        <w:rPr>
          <w:rFonts w:ascii="Times New Roman" w:hAnsi="Times New Roman"/>
          <w:sz w:val="24"/>
          <w:szCs w:val="24"/>
        </w:rPr>
        <w:t>infrequent,</w:t>
      </w:r>
      <w:r w:rsidRPr="002D53CC">
        <w:rPr>
          <w:rFonts w:ascii="Times New Roman" w:hAnsi="Times New Roman"/>
          <w:sz w:val="24"/>
          <w:szCs w:val="24"/>
        </w:rPr>
        <w:t xml:space="preserve"> so scheduling has been difficult as new investigators are hired.  </w:t>
      </w:r>
    </w:p>
    <w:p w14:paraId="52DAEA69" w14:textId="77777777" w:rsidR="00C06BA4" w:rsidRPr="002D53CC" w:rsidRDefault="00C06BA4" w:rsidP="00C06BA4">
      <w:pPr>
        <w:pStyle w:val="NoSpacing"/>
        <w:ind w:left="720"/>
        <w:jc w:val="both"/>
        <w:rPr>
          <w:rFonts w:ascii="Times New Roman" w:hAnsi="Times New Roman"/>
          <w:sz w:val="24"/>
          <w:szCs w:val="24"/>
        </w:rPr>
      </w:pPr>
    </w:p>
    <w:p w14:paraId="335F9C42" w14:textId="77777777" w:rsidR="00C06BA4" w:rsidRPr="002D53CC" w:rsidRDefault="00C06BA4" w:rsidP="00C06BA4">
      <w:pPr>
        <w:pStyle w:val="NoSpacing"/>
        <w:ind w:left="720"/>
        <w:jc w:val="both"/>
        <w:rPr>
          <w:rFonts w:ascii="Times New Roman" w:hAnsi="Times New Roman"/>
          <w:sz w:val="24"/>
          <w:szCs w:val="24"/>
        </w:rPr>
      </w:pPr>
      <w:r w:rsidRPr="002D53CC">
        <w:rPr>
          <w:rFonts w:ascii="Times New Roman" w:hAnsi="Times New Roman"/>
          <w:sz w:val="24"/>
          <w:szCs w:val="24"/>
        </w:rPr>
        <w:t xml:space="preserve">All filed complaints are uploaded into OnBase, the bureau’s electronic database system which was initiated in 2021.  All documents received and activities taken in every case are uploaded and documented in the electronic file.  REDB continues its work with the NCDOL IT department to correct errors, increase efficiency, and maximize the capabilities of the OnBase system. </w:t>
      </w:r>
    </w:p>
    <w:p w14:paraId="1FD4A9F7" w14:textId="77777777" w:rsidR="00C06BA4" w:rsidRPr="002D53CC" w:rsidRDefault="00C06BA4" w:rsidP="00C06BA4">
      <w:pPr>
        <w:pStyle w:val="NoSpacing"/>
        <w:ind w:left="720"/>
        <w:jc w:val="both"/>
        <w:rPr>
          <w:rFonts w:ascii="Times New Roman" w:hAnsi="Times New Roman"/>
          <w:sz w:val="24"/>
          <w:szCs w:val="24"/>
        </w:rPr>
      </w:pPr>
      <w:r w:rsidRPr="002D53CC">
        <w:rPr>
          <w:rFonts w:ascii="Times New Roman" w:hAnsi="Times New Roman"/>
          <w:sz w:val="24"/>
          <w:szCs w:val="24"/>
        </w:rPr>
        <w:t xml:space="preserve">The REDB Operations Manual (previously the REDB Operations Desk Guide) is updated periodically to incorporate changes in federal whistleblower directives, statutory or rule revisions, and the bureau’s workflow processes.   The current Manual establishes practices and procedures that are at least as effective as federal practices and procedures set out in the federal Whistleblower Investigations Manual, revisions adopted on April 29, 2022.  </w:t>
      </w:r>
    </w:p>
    <w:p w14:paraId="3C89372E" w14:textId="77777777" w:rsidR="00C06BA4" w:rsidRPr="002D53CC" w:rsidRDefault="00C06BA4" w:rsidP="00C06BA4">
      <w:pPr>
        <w:pStyle w:val="NoSpacing"/>
        <w:jc w:val="both"/>
        <w:rPr>
          <w:rFonts w:ascii="Times New Roman" w:hAnsi="Times New Roman"/>
          <w:sz w:val="24"/>
          <w:szCs w:val="24"/>
        </w:rPr>
      </w:pPr>
    </w:p>
    <w:p w14:paraId="7716C05E" w14:textId="77777777" w:rsidR="00C06BA4" w:rsidRPr="002D53CC" w:rsidRDefault="00C06BA4" w:rsidP="00C06BA4">
      <w:pPr>
        <w:pStyle w:val="NoSpacing"/>
        <w:ind w:firstLine="720"/>
        <w:jc w:val="both"/>
        <w:rPr>
          <w:rFonts w:ascii="Times New Roman" w:hAnsi="Times New Roman"/>
          <w:b/>
          <w:bCs/>
          <w:sz w:val="24"/>
          <w:szCs w:val="24"/>
        </w:rPr>
      </w:pPr>
      <w:r w:rsidRPr="002D53CC">
        <w:rPr>
          <w:rFonts w:ascii="Times New Roman" w:hAnsi="Times New Roman"/>
          <w:b/>
          <w:bCs/>
          <w:sz w:val="24"/>
          <w:szCs w:val="24"/>
        </w:rPr>
        <w:t>FY 2023 Annual Overview</w:t>
      </w:r>
    </w:p>
    <w:p w14:paraId="3EDEBC20" w14:textId="77777777" w:rsidR="00C06BA4" w:rsidRPr="002D53CC" w:rsidRDefault="00C06BA4" w:rsidP="00C06BA4">
      <w:pPr>
        <w:pStyle w:val="NoSpacing"/>
        <w:ind w:left="720"/>
        <w:jc w:val="both"/>
        <w:rPr>
          <w:rFonts w:ascii="Times New Roman" w:hAnsi="Times New Roman"/>
          <w:b/>
          <w:bCs/>
          <w:sz w:val="24"/>
          <w:szCs w:val="24"/>
        </w:rPr>
      </w:pPr>
    </w:p>
    <w:p w14:paraId="01E3F9B6" w14:textId="77777777" w:rsidR="00C06BA4" w:rsidRPr="002D53CC" w:rsidRDefault="00C06BA4" w:rsidP="00C06BA4">
      <w:pPr>
        <w:pStyle w:val="NoSpacing"/>
        <w:ind w:left="720"/>
        <w:jc w:val="both"/>
        <w:rPr>
          <w:rFonts w:ascii="Times New Roman" w:hAnsi="Times New Roman"/>
          <w:sz w:val="24"/>
          <w:szCs w:val="24"/>
        </w:rPr>
      </w:pPr>
      <w:r w:rsidRPr="002D53CC">
        <w:rPr>
          <w:rFonts w:ascii="Times New Roman" w:hAnsi="Times New Roman"/>
          <w:sz w:val="24"/>
          <w:szCs w:val="24"/>
        </w:rPr>
        <w:t xml:space="preserve">During the intervening fiscal years since the last full FAME audit, federal OSHA discontinued the IMIS system and implemented the OIS database system.  REDB transitioned to OIS for all REDA cases filed on or after July 1, 2022. Complaints filed prior to that date were closed out in IMIS when completed. </w:t>
      </w:r>
    </w:p>
    <w:p w14:paraId="21EF65AE" w14:textId="77777777" w:rsidR="00C06BA4" w:rsidRPr="002D53CC" w:rsidRDefault="00C06BA4" w:rsidP="00C06BA4">
      <w:pPr>
        <w:pStyle w:val="NoSpacing"/>
        <w:ind w:left="720"/>
        <w:jc w:val="both"/>
        <w:rPr>
          <w:rFonts w:ascii="Times New Roman" w:hAnsi="Times New Roman"/>
          <w:sz w:val="24"/>
          <w:szCs w:val="24"/>
        </w:rPr>
      </w:pPr>
    </w:p>
    <w:p w14:paraId="781C7E48" w14:textId="77777777" w:rsidR="00C06BA4" w:rsidRPr="00362F38" w:rsidRDefault="00C06BA4" w:rsidP="00C06BA4">
      <w:pPr>
        <w:pStyle w:val="NoSpacing"/>
        <w:ind w:left="720"/>
        <w:jc w:val="both"/>
        <w:rPr>
          <w:rFonts w:ascii="Times New Roman" w:hAnsi="Times New Roman"/>
          <w:sz w:val="24"/>
          <w:szCs w:val="24"/>
        </w:rPr>
      </w:pPr>
      <w:r w:rsidRPr="00362F38">
        <w:rPr>
          <w:rFonts w:ascii="Times New Roman" w:hAnsi="Times New Roman"/>
          <w:sz w:val="24"/>
          <w:szCs w:val="24"/>
        </w:rPr>
        <w:t xml:space="preserve">Complaints arising out of the COVID-19 pandemic significantly declined.  Despite this, however, REDA complaints alleging safety and health protected activity under the NC Occupational Safety and Health Act have increased, from 155 in FY 2021 and 211 in FY 2022 and 201 for FY ending September 30, 2023.  Section 11(c) referrals have increased dramatically, from 25 referrals in FY2021 to 81 referrals in FY2022 to 123 referrals in FY 2023, almost a five-fold increase since September 30, 2021.   </w:t>
      </w:r>
    </w:p>
    <w:p w14:paraId="7825783B" w14:textId="77777777" w:rsidR="00C06BA4" w:rsidRPr="00362F38" w:rsidRDefault="00C06BA4" w:rsidP="00C06BA4">
      <w:pPr>
        <w:pStyle w:val="NoSpacing"/>
        <w:ind w:left="720"/>
        <w:jc w:val="both"/>
        <w:rPr>
          <w:rFonts w:ascii="Times New Roman" w:hAnsi="Times New Roman"/>
          <w:sz w:val="24"/>
          <w:szCs w:val="24"/>
        </w:rPr>
      </w:pPr>
    </w:p>
    <w:p w14:paraId="508254D0" w14:textId="77777777" w:rsidR="00C06BA4" w:rsidRPr="00362F38" w:rsidRDefault="00C06BA4" w:rsidP="00C06BA4">
      <w:pPr>
        <w:pStyle w:val="NoSpacing"/>
        <w:ind w:left="720"/>
        <w:jc w:val="both"/>
        <w:rPr>
          <w:rFonts w:ascii="Times New Roman" w:hAnsi="Times New Roman"/>
          <w:sz w:val="24"/>
          <w:szCs w:val="24"/>
        </w:rPr>
      </w:pPr>
      <w:r w:rsidRPr="00362F38">
        <w:rPr>
          <w:rFonts w:ascii="Times New Roman" w:hAnsi="Times New Roman"/>
          <w:sz w:val="24"/>
          <w:szCs w:val="24"/>
        </w:rPr>
        <w:lastRenderedPageBreak/>
        <w:t xml:space="preserve">With respect to closed REDA cases involving safety and health protected activities, exclusive of the closing of Section 11(c) referrals, the bureau closed </w:t>
      </w:r>
      <w:r w:rsidRPr="00362F38">
        <w:rPr>
          <w:rFonts w:ascii="Times New Roman" w:hAnsi="Times New Roman"/>
        </w:rPr>
        <w:t>160</w:t>
      </w:r>
      <w:r w:rsidRPr="00362F38">
        <w:rPr>
          <w:rFonts w:ascii="Times New Roman" w:hAnsi="Times New Roman"/>
          <w:sz w:val="24"/>
          <w:szCs w:val="24"/>
        </w:rPr>
        <w:t xml:space="preserve"> complaint files in FY 2021, </w:t>
      </w:r>
      <w:r w:rsidRPr="00362F38">
        <w:rPr>
          <w:rFonts w:ascii="Times New Roman" w:hAnsi="Times New Roman"/>
        </w:rPr>
        <w:t>169</w:t>
      </w:r>
      <w:r w:rsidRPr="00362F38">
        <w:rPr>
          <w:rFonts w:ascii="Times New Roman" w:hAnsi="Times New Roman"/>
          <w:sz w:val="24"/>
          <w:szCs w:val="24"/>
        </w:rPr>
        <w:t xml:space="preserve"> in FY 2022 and </w:t>
      </w:r>
      <w:r w:rsidRPr="00362F38">
        <w:rPr>
          <w:rFonts w:ascii="Times New Roman" w:hAnsi="Times New Roman"/>
        </w:rPr>
        <w:t>213</w:t>
      </w:r>
      <w:r w:rsidRPr="00362F38">
        <w:rPr>
          <w:rFonts w:ascii="Times New Roman" w:hAnsi="Times New Roman"/>
          <w:sz w:val="24"/>
          <w:szCs w:val="24"/>
        </w:rPr>
        <w:t xml:space="preserve"> in FY 2023.  </w:t>
      </w:r>
    </w:p>
    <w:p w14:paraId="32FC8043" w14:textId="77777777" w:rsidR="00C06BA4" w:rsidRPr="002D53CC" w:rsidRDefault="00C06BA4" w:rsidP="00C06BA4">
      <w:pPr>
        <w:pStyle w:val="NoSpacing"/>
        <w:ind w:left="720"/>
        <w:jc w:val="both"/>
        <w:rPr>
          <w:rFonts w:ascii="Times New Roman" w:hAnsi="Times New Roman"/>
          <w:sz w:val="24"/>
          <w:szCs w:val="24"/>
        </w:rPr>
      </w:pPr>
    </w:p>
    <w:p w14:paraId="1BD155DF" w14:textId="3A859847" w:rsidR="00C06BA4" w:rsidRPr="002D53CC" w:rsidRDefault="00C06BA4" w:rsidP="00C06BA4">
      <w:pPr>
        <w:pStyle w:val="NoSpacing"/>
        <w:ind w:left="720"/>
        <w:jc w:val="both"/>
        <w:rPr>
          <w:rFonts w:ascii="Times New Roman" w:hAnsi="Times New Roman"/>
          <w:sz w:val="24"/>
          <w:szCs w:val="24"/>
        </w:rPr>
      </w:pPr>
      <w:r w:rsidRPr="002D53CC">
        <w:rPr>
          <w:rFonts w:ascii="Times New Roman" w:hAnsi="Times New Roman"/>
          <w:sz w:val="24"/>
          <w:szCs w:val="24"/>
        </w:rPr>
        <w:t>During the second quarter of FY 2023, the bureau assumed responsibility for the redactions of documents in REDA complaints alleging protected activities</w:t>
      </w:r>
      <w:r w:rsidR="003A0045">
        <w:rPr>
          <w:rFonts w:ascii="Times New Roman" w:hAnsi="Times New Roman"/>
          <w:sz w:val="24"/>
          <w:szCs w:val="24"/>
        </w:rPr>
        <w:t>,</w:t>
      </w:r>
      <w:r w:rsidRPr="002D53CC">
        <w:rPr>
          <w:rFonts w:ascii="Times New Roman" w:hAnsi="Times New Roman"/>
          <w:sz w:val="24"/>
          <w:szCs w:val="24"/>
        </w:rPr>
        <w:t xml:space="preserve"> under the NC Occupational Safety and Health Act.  These redactions were previously completed by another bureau within the agency</w:t>
      </w:r>
      <w:r w:rsidR="00353F75">
        <w:rPr>
          <w:rFonts w:ascii="Times New Roman" w:hAnsi="Times New Roman"/>
          <w:sz w:val="24"/>
          <w:szCs w:val="24"/>
        </w:rPr>
        <w:t>,</w:t>
      </w:r>
      <w:r w:rsidRPr="002D53CC">
        <w:rPr>
          <w:rFonts w:ascii="Times New Roman" w:hAnsi="Times New Roman"/>
          <w:sz w:val="24"/>
          <w:szCs w:val="24"/>
        </w:rPr>
        <w:t xml:space="preserve"> and turnaround times between 4- 8 months were not uncommon. Also, an investigation of an OSH REDA complaint cannot be initiated if there is an open OSH compliance inspection or investigation.  Delays for this reason can range from several months to several years. Both contributed to a higher than desirable average </w:t>
      </w:r>
      <w:r w:rsidR="00217001">
        <w:rPr>
          <w:rFonts w:ascii="Times New Roman" w:hAnsi="Times New Roman"/>
          <w:sz w:val="24"/>
          <w:szCs w:val="24"/>
        </w:rPr>
        <w:t>of</w:t>
      </w:r>
      <w:r w:rsidR="00217001" w:rsidRPr="002D53CC">
        <w:rPr>
          <w:rFonts w:ascii="Times New Roman" w:hAnsi="Times New Roman"/>
          <w:sz w:val="24"/>
          <w:szCs w:val="24"/>
        </w:rPr>
        <w:t xml:space="preserve"> </w:t>
      </w:r>
      <w:r w:rsidRPr="002D53CC">
        <w:rPr>
          <w:rFonts w:ascii="Times New Roman" w:hAnsi="Times New Roman"/>
          <w:sz w:val="24"/>
          <w:szCs w:val="24"/>
        </w:rPr>
        <w:t>elapsed days from file date to case closure.</w:t>
      </w:r>
    </w:p>
    <w:p w14:paraId="48D80315" w14:textId="77777777" w:rsidR="00C06BA4" w:rsidRPr="002D53CC" w:rsidRDefault="00C06BA4" w:rsidP="00C06BA4">
      <w:pPr>
        <w:pStyle w:val="NoSpacing"/>
        <w:ind w:left="720"/>
        <w:jc w:val="both"/>
        <w:rPr>
          <w:rFonts w:ascii="Times New Roman" w:hAnsi="Times New Roman"/>
          <w:sz w:val="24"/>
          <w:szCs w:val="24"/>
        </w:rPr>
      </w:pPr>
    </w:p>
    <w:p w14:paraId="21FB29E0" w14:textId="0D8325CC" w:rsidR="00C06BA4" w:rsidRPr="002D53CC" w:rsidRDefault="00C06BA4" w:rsidP="00C06BA4">
      <w:pPr>
        <w:pStyle w:val="NoSpacing"/>
        <w:ind w:left="720"/>
        <w:jc w:val="both"/>
        <w:rPr>
          <w:rFonts w:ascii="Times New Roman" w:hAnsi="Times New Roman"/>
          <w:b/>
          <w:bCs/>
          <w:sz w:val="24"/>
          <w:szCs w:val="24"/>
        </w:rPr>
      </w:pPr>
      <w:r w:rsidRPr="002D53CC">
        <w:rPr>
          <w:rFonts w:ascii="Times New Roman" w:hAnsi="Times New Roman"/>
          <w:b/>
          <w:bCs/>
          <w:sz w:val="24"/>
          <w:szCs w:val="24"/>
        </w:rPr>
        <w:t>The NCDOL REDB Alternative Dispute Resolution Program.</w:t>
      </w:r>
    </w:p>
    <w:p w14:paraId="3B8249C5" w14:textId="77777777" w:rsidR="00C06BA4" w:rsidRPr="002D53CC" w:rsidRDefault="00C06BA4" w:rsidP="00C06BA4">
      <w:pPr>
        <w:pStyle w:val="NoSpacing"/>
        <w:ind w:left="720"/>
        <w:jc w:val="both"/>
        <w:rPr>
          <w:rFonts w:ascii="Times New Roman" w:hAnsi="Times New Roman"/>
          <w:b/>
          <w:bCs/>
          <w:sz w:val="24"/>
          <w:szCs w:val="24"/>
        </w:rPr>
      </w:pPr>
    </w:p>
    <w:p w14:paraId="1054EAC7" w14:textId="716DCF7A" w:rsidR="00C06BA4" w:rsidRPr="002D53CC" w:rsidRDefault="00C06BA4" w:rsidP="00C06BA4">
      <w:pPr>
        <w:pStyle w:val="NoSpacing"/>
        <w:ind w:left="720"/>
        <w:jc w:val="both"/>
        <w:rPr>
          <w:rFonts w:ascii="Times New Roman" w:hAnsi="Times New Roman"/>
          <w:sz w:val="24"/>
          <w:szCs w:val="24"/>
        </w:rPr>
      </w:pPr>
      <w:r w:rsidRPr="002D53CC">
        <w:rPr>
          <w:rFonts w:ascii="Times New Roman" w:hAnsi="Times New Roman"/>
          <w:sz w:val="24"/>
          <w:szCs w:val="24"/>
        </w:rPr>
        <w:t xml:space="preserve">When “reasonable cause to believe” the </w:t>
      </w:r>
      <w:r w:rsidR="007D6E3C" w:rsidRPr="002D53CC">
        <w:rPr>
          <w:rFonts w:ascii="Times New Roman" w:hAnsi="Times New Roman"/>
          <w:sz w:val="24"/>
          <w:szCs w:val="24"/>
        </w:rPr>
        <w:t>allegation</w:t>
      </w:r>
      <w:r w:rsidRPr="002D53CC">
        <w:rPr>
          <w:rFonts w:ascii="Times New Roman" w:hAnsi="Times New Roman"/>
          <w:sz w:val="24"/>
          <w:szCs w:val="24"/>
        </w:rPr>
        <w:t xml:space="preserve"> of the complaint is found, REDA requires that the Commissioner of Labor “shall attempt to eliminate the alleged violation by informal methods…”  In response to this charge, the bureau established an Alternative Dispute Resolution Program.  The bureau offers conciliation and mediation in cases in which “merit” is found and as an early resolution tool.  </w:t>
      </w:r>
    </w:p>
    <w:p w14:paraId="24BF9076" w14:textId="77777777" w:rsidR="00C06BA4" w:rsidRPr="002D53CC" w:rsidRDefault="00C06BA4" w:rsidP="00C06BA4">
      <w:pPr>
        <w:pStyle w:val="NoSpacing"/>
        <w:ind w:left="720"/>
        <w:jc w:val="both"/>
        <w:rPr>
          <w:rFonts w:ascii="Times New Roman" w:hAnsi="Times New Roman"/>
          <w:sz w:val="24"/>
          <w:szCs w:val="24"/>
        </w:rPr>
      </w:pPr>
    </w:p>
    <w:p w14:paraId="6415D33C" w14:textId="6DBD17FD" w:rsidR="00C06BA4" w:rsidRPr="002D53CC" w:rsidRDefault="00C06BA4" w:rsidP="00C06BA4">
      <w:pPr>
        <w:pStyle w:val="NoSpacing"/>
        <w:ind w:left="720"/>
        <w:jc w:val="both"/>
        <w:rPr>
          <w:rFonts w:ascii="Times New Roman" w:hAnsi="Times New Roman"/>
          <w:sz w:val="24"/>
          <w:szCs w:val="24"/>
        </w:rPr>
      </w:pPr>
      <w:r w:rsidRPr="002D53CC">
        <w:rPr>
          <w:rFonts w:ascii="Times New Roman" w:hAnsi="Times New Roman"/>
          <w:sz w:val="24"/>
          <w:szCs w:val="24"/>
        </w:rPr>
        <w:t xml:space="preserve">The bureau’s voluntary Mediated Settlement Conference Program, implemented in fall 2020, has been successful.  Mediation is conducted by a volunteer mediator certified by the NC Dispute Resolution Commission and offered to the parties at no charge both as an early resolution tool and after an investigation results in a “merit” determination.    </w:t>
      </w:r>
    </w:p>
    <w:p w14:paraId="3B4826C2" w14:textId="77777777" w:rsidR="00D4161B" w:rsidRDefault="00D4161B" w:rsidP="00C06BA4">
      <w:pPr>
        <w:pStyle w:val="NoSpacing"/>
        <w:ind w:left="720"/>
        <w:jc w:val="both"/>
        <w:rPr>
          <w:rFonts w:ascii="Times New Roman" w:hAnsi="Times New Roman"/>
          <w:b/>
          <w:bCs/>
          <w:sz w:val="24"/>
          <w:szCs w:val="24"/>
        </w:rPr>
      </w:pPr>
    </w:p>
    <w:p w14:paraId="51F021F8" w14:textId="69A59A7A" w:rsidR="00C06BA4" w:rsidRPr="002D53CC" w:rsidRDefault="00C06BA4" w:rsidP="00C06BA4">
      <w:pPr>
        <w:pStyle w:val="NoSpacing"/>
        <w:ind w:left="720"/>
        <w:jc w:val="both"/>
        <w:rPr>
          <w:rFonts w:ascii="Times New Roman" w:hAnsi="Times New Roman"/>
          <w:b/>
          <w:bCs/>
          <w:sz w:val="24"/>
          <w:szCs w:val="24"/>
        </w:rPr>
      </w:pPr>
      <w:r w:rsidRPr="002D53CC">
        <w:rPr>
          <w:rFonts w:ascii="Times New Roman" w:hAnsi="Times New Roman"/>
          <w:b/>
          <w:bCs/>
          <w:sz w:val="24"/>
          <w:szCs w:val="24"/>
        </w:rPr>
        <w:t xml:space="preserve">FY 2023 Settlement Statistics </w:t>
      </w:r>
    </w:p>
    <w:p w14:paraId="04540056" w14:textId="77777777" w:rsidR="00C06BA4" w:rsidRPr="002D53CC" w:rsidRDefault="00C06BA4" w:rsidP="00C06BA4">
      <w:pPr>
        <w:pStyle w:val="NoSpacing"/>
        <w:ind w:left="720"/>
        <w:jc w:val="both"/>
        <w:rPr>
          <w:rFonts w:ascii="Times New Roman" w:hAnsi="Times New Roman"/>
          <w:b/>
          <w:bCs/>
          <w:sz w:val="24"/>
          <w:szCs w:val="24"/>
        </w:rPr>
      </w:pPr>
    </w:p>
    <w:p w14:paraId="259DA388" w14:textId="77777777" w:rsidR="00C06BA4" w:rsidRPr="00797FD5" w:rsidRDefault="00C06BA4" w:rsidP="00C06BA4">
      <w:pPr>
        <w:pStyle w:val="NoSpacing"/>
        <w:ind w:left="720"/>
        <w:jc w:val="both"/>
        <w:rPr>
          <w:rFonts w:ascii="Times New Roman" w:hAnsi="Times New Roman"/>
          <w:sz w:val="24"/>
          <w:szCs w:val="24"/>
        </w:rPr>
      </w:pPr>
      <w:r w:rsidRPr="00797FD5">
        <w:rPr>
          <w:rFonts w:ascii="Times New Roman" w:hAnsi="Times New Roman"/>
          <w:sz w:val="24"/>
          <w:szCs w:val="24"/>
        </w:rPr>
        <w:t>The following</w:t>
      </w:r>
      <w:r w:rsidRPr="002D53CC">
        <w:rPr>
          <w:rFonts w:ascii="Times New Roman" w:hAnsi="Times New Roman"/>
          <w:sz w:val="24"/>
          <w:szCs w:val="24"/>
        </w:rPr>
        <w:t xml:space="preserve"> chart incorporates all ADR activity in REDA cases alleging protected activities under the NC Occupational Safety and Health Act and does not include ADR activities in complaints alleging protected activity under any of the other 10 statutes under REDA.</w:t>
      </w:r>
    </w:p>
    <w:p w14:paraId="2B976C67" w14:textId="77777777" w:rsidR="00C06BA4" w:rsidRPr="002D53CC" w:rsidRDefault="00C06BA4" w:rsidP="00C06BA4">
      <w:pPr>
        <w:pStyle w:val="NoSpacing"/>
        <w:ind w:left="720"/>
        <w:jc w:val="both"/>
        <w:rPr>
          <w:rFonts w:ascii="Times New Roman" w:hAnsi="Times New Roman"/>
          <w:b/>
          <w:bCs/>
          <w:sz w:val="24"/>
          <w:szCs w:val="24"/>
        </w:rPr>
      </w:pPr>
    </w:p>
    <w:p w14:paraId="6B2676A5" w14:textId="77777777" w:rsidR="00C06BA4" w:rsidRDefault="00C06BA4" w:rsidP="00C06BA4">
      <w:pPr>
        <w:pStyle w:val="NoSpacing"/>
        <w:ind w:left="720"/>
        <w:jc w:val="both"/>
        <w:rPr>
          <w:rFonts w:ascii="Times New Roman" w:hAnsi="Times New Roman"/>
          <w:b/>
          <w:bCs/>
          <w:sz w:val="24"/>
          <w:szCs w:val="24"/>
        </w:rPr>
      </w:pPr>
      <w:r w:rsidRPr="001F056A">
        <w:rPr>
          <w:rFonts w:ascii="Times New Roman" w:hAnsi="Times New Roman"/>
          <w:b/>
          <w:bCs/>
          <w:sz w:val="24"/>
          <w:szCs w:val="24"/>
        </w:rPr>
        <w:t>ADR Process</w:t>
      </w:r>
      <w:r w:rsidRPr="001F056A">
        <w:rPr>
          <w:rFonts w:ascii="Times New Roman" w:hAnsi="Times New Roman"/>
          <w:b/>
          <w:bCs/>
          <w:sz w:val="24"/>
          <w:szCs w:val="24"/>
        </w:rPr>
        <w:tab/>
      </w:r>
      <w:r w:rsidRPr="001F056A">
        <w:rPr>
          <w:rFonts w:ascii="Times New Roman" w:hAnsi="Times New Roman"/>
          <w:b/>
          <w:bCs/>
          <w:sz w:val="24"/>
          <w:szCs w:val="24"/>
        </w:rPr>
        <w:tab/>
        <w:t>#Referred</w:t>
      </w:r>
      <w:r w:rsidRPr="001F056A">
        <w:rPr>
          <w:rFonts w:ascii="Times New Roman" w:hAnsi="Times New Roman"/>
          <w:b/>
          <w:bCs/>
          <w:sz w:val="24"/>
          <w:szCs w:val="24"/>
        </w:rPr>
        <w:tab/>
        <w:t>% Settled</w:t>
      </w:r>
      <w:r w:rsidRPr="001F056A">
        <w:rPr>
          <w:rFonts w:ascii="Times New Roman" w:hAnsi="Times New Roman"/>
          <w:b/>
          <w:bCs/>
          <w:sz w:val="24"/>
          <w:szCs w:val="24"/>
        </w:rPr>
        <w:tab/>
      </w:r>
      <w:r w:rsidRPr="001F056A">
        <w:rPr>
          <w:rFonts w:ascii="Times New Roman" w:hAnsi="Times New Roman"/>
          <w:b/>
          <w:bCs/>
          <w:sz w:val="24"/>
          <w:szCs w:val="24"/>
        </w:rPr>
        <w:tab/>
        <w:t>Settlement Amount</w:t>
      </w:r>
    </w:p>
    <w:p w14:paraId="2D4E2CE3" w14:textId="77777777" w:rsidR="001F056A" w:rsidRPr="001F056A" w:rsidRDefault="001F056A" w:rsidP="00C06BA4">
      <w:pPr>
        <w:pStyle w:val="NoSpacing"/>
        <w:ind w:left="720"/>
        <w:jc w:val="both"/>
        <w:rPr>
          <w:rFonts w:ascii="Times New Roman" w:hAnsi="Times New Roman"/>
          <w:b/>
          <w:bCs/>
          <w:sz w:val="24"/>
          <w:szCs w:val="24"/>
        </w:rPr>
      </w:pPr>
    </w:p>
    <w:p w14:paraId="3DA27FDE" w14:textId="77777777" w:rsidR="00C06BA4" w:rsidRPr="002D53CC" w:rsidRDefault="00C06BA4" w:rsidP="00C06BA4">
      <w:pPr>
        <w:pStyle w:val="NoSpacing"/>
        <w:ind w:left="720"/>
        <w:jc w:val="both"/>
        <w:rPr>
          <w:rFonts w:ascii="Times New Roman" w:hAnsi="Times New Roman"/>
          <w:sz w:val="24"/>
          <w:szCs w:val="24"/>
        </w:rPr>
      </w:pPr>
      <w:r w:rsidRPr="002D53CC">
        <w:rPr>
          <w:rFonts w:ascii="Times New Roman" w:hAnsi="Times New Roman"/>
          <w:sz w:val="24"/>
          <w:szCs w:val="24"/>
        </w:rPr>
        <w:t>Mediation</w:t>
      </w:r>
      <w:r w:rsidRPr="002D53CC">
        <w:rPr>
          <w:rFonts w:ascii="Times New Roman" w:hAnsi="Times New Roman"/>
          <w:sz w:val="24"/>
          <w:szCs w:val="24"/>
        </w:rPr>
        <w:tab/>
      </w:r>
      <w:r w:rsidRPr="002D53CC">
        <w:rPr>
          <w:rFonts w:ascii="Times New Roman" w:hAnsi="Times New Roman"/>
          <w:sz w:val="24"/>
          <w:szCs w:val="24"/>
        </w:rPr>
        <w:tab/>
        <w:t xml:space="preserve">    14</w:t>
      </w:r>
      <w:r w:rsidRPr="002D53CC">
        <w:rPr>
          <w:rFonts w:ascii="Times New Roman" w:hAnsi="Times New Roman"/>
          <w:sz w:val="24"/>
          <w:szCs w:val="24"/>
        </w:rPr>
        <w:tab/>
      </w:r>
      <w:r w:rsidRPr="002D53CC">
        <w:rPr>
          <w:rFonts w:ascii="Times New Roman" w:hAnsi="Times New Roman"/>
          <w:sz w:val="24"/>
          <w:szCs w:val="24"/>
        </w:rPr>
        <w:tab/>
        <w:t>64%</w:t>
      </w:r>
      <w:r w:rsidRPr="002D53CC">
        <w:rPr>
          <w:rFonts w:ascii="Times New Roman" w:hAnsi="Times New Roman"/>
          <w:sz w:val="24"/>
          <w:szCs w:val="24"/>
        </w:rPr>
        <w:tab/>
      </w:r>
      <w:r w:rsidRPr="002D53CC">
        <w:rPr>
          <w:rFonts w:ascii="Times New Roman" w:hAnsi="Times New Roman"/>
          <w:sz w:val="24"/>
          <w:szCs w:val="24"/>
        </w:rPr>
        <w:tab/>
      </w:r>
      <w:r w:rsidRPr="002D53CC">
        <w:rPr>
          <w:rFonts w:ascii="Times New Roman" w:hAnsi="Times New Roman"/>
          <w:sz w:val="24"/>
          <w:szCs w:val="24"/>
        </w:rPr>
        <w:tab/>
        <w:t>$133,560</w:t>
      </w:r>
    </w:p>
    <w:p w14:paraId="1E103F18" w14:textId="77777777" w:rsidR="00C06BA4" w:rsidRPr="002D53CC" w:rsidRDefault="00C06BA4" w:rsidP="00C06BA4">
      <w:pPr>
        <w:pStyle w:val="NoSpacing"/>
        <w:ind w:left="720"/>
        <w:jc w:val="both"/>
        <w:rPr>
          <w:rFonts w:ascii="Times New Roman" w:hAnsi="Times New Roman"/>
          <w:sz w:val="24"/>
          <w:szCs w:val="24"/>
        </w:rPr>
      </w:pPr>
      <w:r w:rsidRPr="002D53CC">
        <w:rPr>
          <w:rFonts w:ascii="Times New Roman" w:hAnsi="Times New Roman"/>
          <w:sz w:val="24"/>
          <w:szCs w:val="24"/>
        </w:rPr>
        <w:t>Conciliation</w:t>
      </w:r>
      <w:r w:rsidRPr="002D53CC">
        <w:rPr>
          <w:rFonts w:ascii="Times New Roman" w:hAnsi="Times New Roman"/>
          <w:sz w:val="24"/>
          <w:szCs w:val="24"/>
        </w:rPr>
        <w:tab/>
      </w:r>
      <w:r w:rsidRPr="002D53CC">
        <w:rPr>
          <w:rFonts w:ascii="Times New Roman" w:hAnsi="Times New Roman"/>
          <w:sz w:val="24"/>
          <w:szCs w:val="24"/>
        </w:rPr>
        <w:tab/>
        <w:t xml:space="preserve">      4</w:t>
      </w:r>
      <w:r w:rsidRPr="002D53CC">
        <w:rPr>
          <w:rFonts w:ascii="Times New Roman" w:hAnsi="Times New Roman"/>
          <w:sz w:val="24"/>
          <w:szCs w:val="24"/>
        </w:rPr>
        <w:tab/>
      </w:r>
      <w:r w:rsidRPr="002D53CC">
        <w:rPr>
          <w:rFonts w:ascii="Times New Roman" w:hAnsi="Times New Roman"/>
          <w:sz w:val="24"/>
          <w:szCs w:val="24"/>
        </w:rPr>
        <w:tab/>
        <w:t>100%</w:t>
      </w:r>
      <w:r w:rsidRPr="002D53CC">
        <w:rPr>
          <w:rFonts w:ascii="Times New Roman" w:hAnsi="Times New Roman"/>
          <w:sz w:val="24"/>
          <w:szCs w:val="24"/>
        </w:rPr>
        <w:tab/>
      </w:r>
      <w:r w:rsidRPr="002D53CC">
        <w:rPr>
          <w:rFonts w:ascii="Times New Roman" w:hAnsi="Times New Roman"/>
          <w:sz w:val="24"/>
          <w:szCs w:val="24"/>
        </w:rPr>
        <w:tab/>
      </w:r>
      <w:r w:rsidRPr="002D53CC">
        <w:rPr>
          <w:rFonts w:ascii="Times New Roman" w:hAnsi="Times New Roman"/>
          <w:sz w:val="24"/>
          <w:szCs w:val="24"/>
        </w:rPr>
        <w:tab/>
        <w:t>$  22,000</w:t>
      </w:r>
    </w:p>
    <w:p w14:paraId="70512E38" w14:textId="556BF4A8" w:rsidR="00C06BA4" w:rsidRPr="00797FD5" w:rsidRDefault="00C06BA4" w:rsidP="00C06BA4">
      <w:pPr>
        <w:pStyle w:val="NoSpacing"/>
        <w:ind w:left="720"/>
        <w:jc w:val="both"/>
        <w:rPr>
          <w:rFonts w:ascii="Times New Roman" w:hAnsi="Times New Roman"/>
          <w:sz w:val="24"/>
          <w:szCs w:val="24"/>
        </w:rPr>
      </w:pPr>
      <w:r w:rsidRPr="002D53CC">
        <w:rPr>
          <w:rFonts w:ascii="Times New Roman" w:hAnsi="Times New Roman"/>
          <w:sz w:val="24"/>
          <w:szCs w:val="24"/>
        </w:rPr>
        <w:t>TOTAL</w:t>
      </w:r>
      <w:r w:rsidRPr="002D53CC">
        <w:rPr>
          <w:rFonts w:ascii="Times New Roman" w:hAnsi="Times New Roman"/>
          <w:sz w:val="24"/>
          <w:szCs w:val="24"/>
        </w:rPr>
        <w:tab/>
      </w:r>
      <w:r w:rsidRPr="002D53CC">
        <w:rPr>
          <w:rFonts w:ascii="Times New Roman" w:hAnsi="Times New Roman"/>
          <w:sz w:val="24"/>
          <w:szCs w:val="24"/>
        </w:rPr>
        <w:tab/>
        <w:t xml:space="preserve">    18</w:t>
      </w:r>
      <w:r w:rsidRPr="002D53CC">
        <w:rPr>
          <w:rFonts w:ascii="Times New Roman" w:hAnsi="Times New Roman"/>
          <w:sz w:val="24"/>
          <w:szCs w:val="24"/>
        </w:rPr>
        <w:tab/>
      </w:r>
      <w:r w:rsidRPr="002D53CC">
        <w:rPr>
          <w:rFonts w:ascii="Times New Roman" w:hAnsi="Times New Roman"/>
          <w:sz w:val="24"/>
          <w:szCs w:val="24"/>
        </w:rPr>
        <w:tab/>
        <w:t>72%</w:t>
      </w:r>
      <w:r w:rsidRPr="002D53CC">
        <w:rPr>
          <w:rFonts w:ascii="Times New Roman" w:hAnsi="Times New Roman"/>
          <w:sz w:val="24"/>
          <w:szCs w:val="24"/>
        </w:rPr>
        <w:tab/>
      </w:r>
      <w:r w:rsidRPr="002D53CC">
        <w:rPr>
          <w:rFonts w:ascii="Times New Roman" w:hAnsi="Times New Roman"/>
          <w:sz w:val="24"/>
          <w:szCs w:val="24"/>
        </w:rPr>
        <w:tab/>
      </w:r>
      <w:r w:rsidRPr="002D53CC">
        <w:rPr>
          <w:rFonts w:ascii="Times New Roman" w:hAnsi="Times New Roman"/>
          <w:sz w:val="24"/>
          <w:szCs w:val="24"/>
        </w:rPr>
        <w:tab/>
        <w:t>$155,560</w:t>
      </w:r>
    </w:p>
    <w:p w14:paraId="75670484" w14:textId="77777777" w:rsidR="00C06BA4" w:rsidRPr="002D53CC" w:rsidRDefault="00C06BA4" w:rsidP="00C06BA4">
      <w:pPr>
        <w:pStyle w:val="NoSpacing"/>
        <w:ind w:left="720"/>
        <w:jc w:val="both"/>
        <w:rPr>
          <w:rFonts w:ascii="Times New Roman" w:hAnsi="Times New Roman"/>
          <w:b/>
          <w:bCs/>
          <w:sz w:val="24"/>
          <w:szCs w:val="24"/>
        </w:rPr>
      </w:pPr>
    </w:p>
    <w:p w14:paraId="0C2524A2" w14:textId="167D7AD8" w:rsidR="00C06BA4" w:rsidRPr="002D53CC" w:rsidRDefault="00C06BA4" w:rsidP="00C06BA4">
      <w:pPr>
        <w:pStyle w:val="NoSpacing"/>
        <w:ind w:left="720"/>
        <w:jc w:val="both"/>
        <w:rPr>
          <w:rFonts w:ascii="Times New Roman" w:hAnsi="Times New Roman"/>
          <w:b/>
          <w:bCs/>
          <w:sz w:val="24"/>
          <w:szCs w:val="24"/>
        </w:rPr>
      </w:pPr>
      <w:r w:rsidRPr="002D53CC">
        <w:rPr>
          <w:rFonts w:ascii="Times New Roman" w:hAnsi="Times New Roman"/>
          <w:b/>
          <w:bCs/>
          <w:sz w:val="24"/>
          <w:szCs w:val="24"/>
        </w:rPr>
        <w:t>FY 2023 Evaluation</w:t>
      </w:r>
    </w:p>
    <w:p w14:paraId="07FB04E4" w14:textId="77777777" w:rsidR="00C06BA4" w:rsidRPr="002D53CC" w:rsidRDefault="00C06BA4" w:rsidP="00C06BA4">
      <w:pPr>
        <w:pStyle w:val="NoSpacing"/>
        <w:ind w:left="720"/>
        <w:jc w:val="both"/>
        <w:rPr>
          <w:rFonts w:ascii="Times New Roman" w:hAnsi="Times New Roman"/>
          <w:sz w:val="24"/>
          <w:szCs w:val="24"/>
        </w:rPr>
      </w:pPr>
    </w:p>
    <w:p w14:paraId="43F74E7C" w14:textId="336D7816" w:rsidR="00C06BA4" w:rsidRPr="002D53CC" w:rsidRDefault="00C06BA4" w:rsidP="00C06BA4">
      <w:pPr>
        <w:pStyle w:val="NoSpacing"/>
        <w:ind w:left="720"/>
        <w:jc w:val="both"/>
        <w:rPr>
          <w:rFonts w:ascii="Times New Roman" w:hAnsi="Times New Roman"/>
          <w:sz w:val="24"/>
          <w:szCs w:val="24"/>
        </w:rPr>
      </w:pPr>
      <w:r w:rsidRPr="002D53CC">
        <w:rPr>
          <w:rFonts w:ascii="Times New Roman" w:hAnsi="Times New Roman"/>
          <w:sz w:val="24"/>
          <w:szCs w:val="24"/>
        </w:rPr>
        <w:t>This evaluation included a thorough review of North Carolina’s discrimination program to determine whether REDB is following its own policy and procedures</w:t>
      </w:r>
      <w:r w:rsidR="00B439A8">
        <w:rPr>
          <w:rFonts w:ascii="Times New Roman" w:hAnsi="Times New Roman"/>
          <w:sz w:val="24"/>
          <w:szCs w:val="24"/>
        </w:rPr>
        <w:t>,</w:t>
      </w:r>
      <w:r w:rsidRPr="002D53CC">
        <w:rPr>
          <w:rFonts w:ascii="Times New Roman" w:hAnsi="Times New Roman"/>
          <w:sz w:val="24"/>
          <w:szCs w:val="24"/>
        </w:rPr>
        <w:t xml:space="preserve"> and whether the procedures and processes are “at least as effective” as those required in the current federal Whistleblower Manual. </w:t>
      </w:r>
    </w:p>
    <w:p w14:paraId="018AB29C" w14:textId="77777777" w:rsidR="00C06BA4" w:rsidRPr="002D53CC" w:rsidRDefault="00C06BA4" w:rsidP="00C06BA4">
      <w:pPr>
        <w:pStyle w:val="NoSpacing"/>
        <w:ind w:left="720"/>
        <w:jc w:val="both"/>
        <w:rPr>
          <w:rFonts w:ascii="Times New Roman" w:hAnsi="Times New Roman"/>
          <w:sz w:val="24"/>
          <w:szCs w:val="24"/>
        </w:rPr>
      </w:pPr>
    </w:p>
    <w:p w14:paraId="40F2A9B1" w14:textId="77777777" w:rsidR="00C06BA4" w:rsidRPr="002D53CC" w:rsidRDefault="00C06BA4" w:rsidP="00C06BA4">
      <w:pPr>
        <w:pStyle w:val="NoSpacing"/>
        <w:ind w:left="720"/>
        <w:jc w:val="both"/>
        <w:rPr>
          <w:rFonts w:ascii="Times New Roman" w:hAnsi="Times New Roman"/>
          <w:sz w:val="24"/>
          <w:szCs w:val="24"/>
        </w:rPr>
      </w:pPr>
      <w:r w:rsidRPr="002D53CC">
        <w:rPr>
          <w:rFonts w:ascii="Times New Roman" w:hAnsi="Times New Roman"/>
          <w:sz w:val="24"/>
          <w:szCs w:val="24"/>
        </w:rPr>
        <w:t>As part of this fiscal year’s FAME audit, fifteen REDA complaints alleging protected activity under the NC Occupational Safety and Health Act were randomly selected and reviewed by the investigator. Files were selected to obtain a cross section of closed cases by investigator and determination.  The determinations were (1) Merit, (4) Dismissals, (2) Withdrawal, (3) administrative closures, (3) Request for 90-Day Right-to-Sue letter, and (2) settlements.</w:t>
      </w:r>
    </w:p>
    <w:p w14:paraId="3864CCC9" w14:textId="77777777" w:rsidR="00C06BA4" w:rsidRPr="002D53CC" w:rsidRDefault="00C06BA4" w:rsidP="00C06BA4">
      <w:pPr>
        <w:pStyle w:val="NoSpacing"/>
        <w:ind w:left="720"/>
        <w:jc w:val="both"/>
        <w:rPr>
          <w:rFonts w:ascii="Times New Roman" w:hAnsi="Times New Roman"/>
          <w:sz w:val="24"/>
          <w:szCs w:val="24"/>
        </w:rPr>
      </w:pPr>
    </w:p>
    <w:p w14:paraId="0E110607" w14:textId="77777777" w:rsidR="00C06BA4" w:rsidRDefault="00C06BA4" w:rsidP="00C06BA4">
      <w:pPr>
        <w:ind w:left="720"/>
        <w:jc w:val="both"/>
        <w:rPr>
          <w:highlight w:val="yellow"/>
        </w:rPr>
      </w:pPr>
      <w:r w:rsidRPr="00797FD5">
        <w:t>The</w:t>
      </w:r>
      <w:r w:rsidRPr="00E41221">
        <w:t xml:space="preserve"> case files and Reports of Investigation were </w:t>
      </w:r>
      <w:r w:rsidRPr="00797FD5">
        <w:t xml:space="preserve">consistently </w:t>
      </w:r>
      <w:r w:rsidRPr="00E41221">
        <w:t>well written and documented in accordance with the investigator’s manual.</w:t>
      </w:r>
      <w:r w:rsidRPr="00797FD5">
        <w:t xml:space="preserve">  It is noted that supervisory review prior to case closure is documented in the case files, in the Reports of Investigation, settlement documents, or activity log, depending on the case closure reason.  However, the closing procedures in the manual do not address how to document supervisory review where case closure does not require a Report of Investigation.  It is recommended to revise the procedures to delegate responsibility and specify a method for documenting supervisory review to ensure clarity and consistency.</w:t>
      </w:r>
    </w:p>
    <w:p w14:paraId="3E20E733" w14:textId="77777777" w:rsidR="00C06BA4" w:rsidRDefault="00C06BA4" w:rsidP="00C06BA4">
      <w:pPr>
        <w:ind w:left="720"/>
        <w:jc w:val="both"/>
        <w:rPr>
          <w:highlight w:val="yellow"/>
        </w:rPr>
      </w:pPr>
    </w:p>
    <w:p w14:paraId="0F527343" w14:textId="77777777" w:rsidR="00C06BA4" w:rsidRPr="002D53CC" w:rsidRDefault="00C06BA4" w:rsidP="00C06BA4">
      <w:pPr>
        <w:ind w:left="720"/>
        <w:jc w:val="both"/>
        <w:rPr>
          <w:b/>
        </w:rPr>
      </w:pPr>
      <w:r w:rsidRPr="00797FD5">
        <w:t>The</w:t>
      </w:r>
      <w:r w:rsidRPr="00E41221">
        <w:t xml:space="preserve"> investigations were</w:t>
      </w:r>
      <w:r w:rsidRPr="00797FD5">
        <w:t xml:space="preserve"> consistently</w:t>
      </w:r>
      <w:r w:rsidRPr="00E41221">
        <w:t xml:space="preserve"> sufficient and reached logical conclusions based on the available evidence</w:t>
      </w:r>
      <w:r w:rsidRPr="00797FD5">
        <w:t xml:space="preserve">.  It is noted that, in one case, Respondent’s defense should have been further tested due to conflicting witness testimony that supported both Complainant’s allegation and Respondent’s defense.  Where defense testing is not warranted, such conflicting witness testimony may also be resolved by a documented assessment of witness credibility that addresses how the investigator weighed the conflicting evidence.  </w:t>
      </w:r>
      <w:r w:rsidRPr="00E41221">
        <w:t xml:space="preserve">Actual investigations were conducted </w:t>
      </w:r>
      <w:r w:rsidRPr="00797FD5">
        <w:t>expeditiously</w:t>
      </w:r>
      <w:r w:rsidRPr="00E41221">
        <w:t xml:space="preserve"> by the assigned investigators.</w:t>
      </w:r>
      <w:r w:rsidRPr="00797FD5">
        <w:t xml:space="preserve">  </w:t>
      </w:r>
      <w:r w:rsidRPr="00E41221">
        <w:t xml:space="preserve">  </w:t>
      </w:r>
      <w:r w:rsidRPr="002D53CC">
        <w:t xml:space="preserve"> </w:t>
      </w:r>
      <w:r w:rsidRPr="002D53CC">
        <w:rPr>
          <w:b/>
        </w:rPr>
        <w:t xml:space="preserve">                             </w:t>
      </w:r>
    </w:p>
    <w:p w14:paraId="691C7BBF" w14:textId="77777777" w:rsidR="00C06BA4" w:rsidRPr="002D53CC" w:rsidRDefault="00C06BA4" w:rsidP="00C06BA4">
      <w:pPr>
        <w:rPr>
          <w:rFonts w:eastAsia="Calibri"/>
        </w:rPr>
      </w:pPr>
    </w:p>
    <w:p w14:paraId="04C44740" w14:textId="5E1FDA47" w:rsidR="00C06BA4" w:rsidRPr="002D53CC" w:rsidRDefault="00C06BA4" w:rsidP="00C06BA4">
      <w:pPr>
        <w:pStyle w:val="NoSpacing"/>
        <w:tabs>
          <w:tab w:val="left" w:pos="-624"/>
          <w:tab w:val="left" w:pos="0"/>
          <w:tab w:val="left" w:pos="720"/>
          <w:tab w:val="left" w:pos="1440"/>
          <w:tab w:val="left" w:pos="2160"/>
          <w:tab w:val="left" w:pos="4986"/>
          <w:tab w:val="left" w:pos="5760"/>
          <w:tab w:val="left" w:pos="6480"/>
          <w:tab w:val="left" w:pos="7200"/>
          <w:tab w:val="left" w:pos="7920"/>
          <w:tab w:val="left" w:pos="8640"/>
          <w:tab w:val="left" w:pos="9360"/>
          <w:tab w:val="left" w:pos="10080"/>
          <w:tab w:val="left" w:pos="10800"/>
          <w:tab w:val="right" w:pos="11304"/>
          <w:tab w:val="left" w:pos="11520"/>
          <w:tab w:val="left" w:pos="12240"/>
          <w:tab w:val="left" w:pos="12960"/>
          <w:tab w:val="left" w:pos="13680"/>
          <w:tab w:val="left" w:pos="14400"/>
        </w:tabs>
        <w:ind w:left="720"/>
        <w:jc w:val="both"/>
        <w:rPr>
          <w:rFonts w:ascii="Times New Roman" w:hAnsi="Times New Roman"/>
          <w:sz w:val="24"/>
          <w:szCs w:val="24"/>
        </w:rPr>
      </w:pPr>
      <w:r>
        <w:rPr>
          <w:rFonts w:ascii="Times New Roman" w:hAnsi="Times New Roman"/>
          <w:sz w:val="24"/>
          <w:szCs w:val="24"/>
        </w:rPr>
        <w:t>Fourteen percent (14%)</w:t>
      </w:r>
      <w:r w:rsidRPr="002D53CC">
        <w:rPr>
          <w:rFonts w:ascii="Times New Roman" w:hAnsi="Times New Roman"/>
          <w:sz w:val="24"/>
          <w:szCs w:val="24"/>
        </w:rPr>
        <w:t xml:space="preserve"> of REDA OSH whistleblower cases were completed within 90 days, in FY2023</w:t>
      </w:r>
      <w:r w:rsidRPr="00797FD5">
        <w:rPr>
          <w:rFonts w:ascii="Times New Roman" w:hAnsi="Times New Roman"/>
          <w:sz w:val="24"/>
          <w:szCs w:val="24"/>
        </w:rPr>
        <w:t xml:space="preserve">.  The average number of days to complete investigations was 289 days, which </w:t>
      </w:r>
      <w:r w:rsidR="004A4033">
        <w:rPr>
          <w:rFonts w:ascii="Times New Roman" w:hAnsi="Times New Roman"/>
          <w:sz w:val="24"/>
          <w:szCs w:val="24"/>
        </w:rPr>
        <w:t>is consistent with</w:t>
      </w:r>
      <w:r w:rsidRPr="00797FD5">
        <w:rPr>
          <w:rFonts w:ascii="Times New Roman" w:hAnsi="Times New Roman"/>
          <w:sz w:val="24"/>
          <w:szCs w:val="24"/>
        </w:rPr>
        <w:t xml:space="preserve"> the national average of 290 days.  Additionally, North Carolina had a total Merit Rate of 18%</w:t>
      </w:r>
      <w:r w:rsidR="00481B6D">
        <w:rPr>
          <w:rFonts w:ascii="Times New Roman" w:hAnsi="Times New Roman"/>
          <w:sz w:val="24"/>
          <w:szCs w:val="24"/>
        </w:rPr>
        <w:t>,</w:t>
      </w:r>
      <w:r w:rsidRPr="00797FD5">
        <w:rPr>
          <w:rFonts w:ascii="Times New Roman" w:hAnsi="Times New Roman"/>
          <w:sz w:val="24"/>
          <w:szCs w:val="24"/>
        </w:rPr>
        <w:t xml:space="preserve"> which exceeds the national average of 16%.  The</w:t>
      </w:r>
      <w:r w:rsidR="004A4033">
        <w:rPr>
          <w:rFonts w:ascii="Times New Roman" w:hAnsi="Times New Roman"/>
          <w:sz w:val="24"/>
          <w:szCs w:val="24"/>
        </w:rPr>
        <w:t xml:space="preserve"> higher volume of cases completed in greater than 90 days likely contributed to REDA OSH’s higher than average Merit Rate</w:t>
      </w:r>
      <w:r w:rsidRPr="00E41221">
        <w:rPr>
          <w:rFonts w:ascii="Times New Roman" w:hAnsi="Times New Roman"/>
          <w:sz w:val="24"/>
          <w:szCs w:val="24"/>
        </w:rPr>
        <w:t>.</w:t>
      </w:r>
    </w:p>
    <w:p w14:paraId="78EE1533" w14:textId="77777777" w:rsidR="00C06BA4" w:rsidRPr="002D53CC" w:rsidRDefault="00C06BA4" w:rsidP="00C06BA4">
      <w:pPr>
        <w:pStyle w:val="NoSpacing"/>
        <w:tabs>
          <w:tab w:val="left" w:pos="-624"/>
          <w:tab w:val="left" w:pos="0"/>
          <w:tab w:val="left" w:pos="720"/>
          <w:tab w:val="left" w:pos="1440"/>
          <w:tab w:val="left" w:pos="2160"/>
          <w:tab w:val="left" w:pos="4986"/>
          <w:tab w:val="left" w:pos="5760"/>
          <w:tab w:val="left" w:pos="6480"/>
          <w:tab w:val="left" w:pos="7200"/>
          <w:tab w:val="left" w:pos="7920"/>
          <w:tab w:val="left" w:pos="8640"/>
          <w:tab w:val="left" w:pos="9360"/>
          <w:tab w:val="left" w:pos="10080"/>
          <w:tab w:val="left" w:pos="10800"/>
          <w:tab w:val="right" w:pos="11304"/>
          <w:tab w:val="left" w:pos="11520"/>
          <w:tab w:val="left" w:pos="12240"/>
          <w:tab w:val="left" w:pos="12960"/>
          <w:tab w:val="left" w:pos="13680"/>
          <w:tab w:val="left" w:pos="14400"/>
        </w:tabs>
        <w:ind w:left="720"/>
        <w:jc w:val="both"/>
        <w:rPr>
          <w:rFonts w:ascii="Times New Roman" w:hAnsi="Times New Roman"/>
          <w:sz w:val="24"/>
          <w:szCs w:val="24"/>
          <w:highlight w:val="yellow"/>
        </w:rPr>
      </w:pPr>
    </w:p>
    <w:p w14:paraId="60B03325" w14:textId="77777777" w:rsidR="00C06BA4" w:rsidRPr="002D53CC" w:rsidRDefault="00C06BA4" w:rsidP="00C06BA4">
      <w:pPr>
        <w:pStyle w:val="NoSpacing"/>
        <w:tabs>
          <w:tab w:val="left" w:pos="-624"/>
          <w:tab w:val="left" w:pos="0"/>
          <w:tab w:val="left" w:pos="720"/>
          <w:tab w:val="left" w:pos="1440"/>
          <w:tab w:val="left" w:pos="2160"/>
          <w:tab w:val="left" w:pos="4986"/>
          <w:tab w:val="left" w:pos="5760"/>
          <w:tab w:val="left" w:pos="6480"/>
          <w:tab w:val="left" w:pos="7200"/>
          <w:tab w:val="left" w:pos="7920"/>
          <w:tab w:val="left" w:pos="8640"/>
          <w:tab w:val="left" w:pos="9360"/>
          <w:tab w:val="left" w:pos="10080"/>
          <w:tab w:val="left" w:pos="10800"/>
          <w:tab w:val="right" w:pos="11304"/>
          <w:tab w:val="left" w:pos="11520"/>
          <w:tab w:val="left" w:pos="12240"/>
          <w:tab w:val="left" w:pos="12960"/>
          <w:tab w:val="left" w:pos="13680"/>
          <w:tab w:val="left" w:pos="14400"/>
        </w:tabs>
        <w:ind w:left="720"/>
        <w:jc w:val="both"/>
        <w:rPr>
          <w:rFonts w:ascii="Times New Roman" w:hAnsi="Times New Roman"/>
          <w:sz w:val="24"/>
          <w:szCs w:val="24"/>
        </w:rPr>
      </w:pPr>
      <w:r w:rsidRPr="002D53CC">
        <w:rPr>
          <w:rFonts w:ascii="Times New Roman" w:hAnsi="Times New Roman"/>
          <w:sz w:val="24"/>
          <w:szCs w:val="24"/>
        </w:rPr>
        <w:t>REDA provides that a complainant may request a 90-Day Right-to-Sue (RTS) Letter in lieu of an investigation after 90 days have elapsed since the file.  The complainant must file their REDA complaint in North Carolina superior court within 90 days of the date of the RTS letter.  The bureau considers the issuance of the RTS letter as a “withdrawal” when completing reports for the federal OSH quarterly meetings.</w:t>
      </w:r>
    </w:p>
    <w:p w14:paraId="62A708C0" w14:textId="77777777" w:rsidR="00C06BA4" w:rsidRPr="002D53CC" w:rsidRDefault="00C06BA4" w:rsidP="00C06BA4">
      <w:pPr>
        <w:pStyle w:val="NoSpacing"/>
        <w:tabs>
          <w:tab w:val="left" w:pos="-624"/>
          <w:tab w:val="left" w:pos="0"/>
          <w:tab w:val="left" w:pos="720"/>
          <w:tab w:val="left" w:pos="1440"/>
          <w:tab w:val="left" w:pos="2160"/>
          <w:tab w:val="left" w:pos="4986"/>
          <w:tab w:val="left" w:pos="5760"/>
          <w:tab w:val="left" w:pos="6480"/>
          <w:tab w:val="left" w:pos="7200"/>
          <w:tab w:val="left" w:pos="7920"/>
          <w:tab w:val="left" w:pos="8640"/>
          <w:tab w:val="left" w:pos="9360"/>
          <w:tab w:val="left" w:pos="10080"/>
          <w:tab w:val="left" w:pos="10800"/>
          <w:tab w:val="right" w:pos="11304"/>
          <w:tab w:val="left" w:pos="11520"/>
          <w:tab w:val="left" w:pos="12240"/>
          <w:tab w:val="left" w:pos="12960"/>
          <w:tab w:val="left" w:pos="13680"/>
          <w:tab w:val="left" w:pos="14400"/>
        </w:tabs>
        <w:ind w:left="720"/>
        <w:jc w:val="both"/>
        <w:rPr>
          <w:rFonts w:ascii="Times New Roman" w:hAnsi="Times New Roman"/>
          <w:sz w:val="24"/>
          <w:szCs w:val="24"/>
        </w:rPr>
      </w:pPr>
    </w:p>
    <w:p w14:paraId="3D07A6AF" w14:textId="77777777" w:rsidR="00C06BA4" w:rsidRPr="002D53CC" w:rsidRDefault="00C06BA4" w:rsidP="00C06BA4">
      <w:pPr>
        <w:pStyle w:val="NoSpacing"/>
        <w:tabs>
          <w:tab w:val="left" w:pos="-624"/>
          <w:tab w:val="left" w:pos="0"/>
          <w:tab w:val="left" w:pos="720"/>
          <w:tab w:val="left" w:pos="1440"/>
          <w:tab w:val="left" w:pos="2160"/>
          <w:tab w:val="left" w:pos="4986"/>
          <w:tab w:val="left" w:pos="5760"/>
          <w:tab w:val="left" w:pos="6480"/>
          <w:tab w:val="left" w:pos="7200"/>
          <w:tab w:val="left" w:pos="7920"/>
          <w:tab w:val="left" w:pos="8640"/>
          <w:tab w:val="left" w:pos="9360"/>
          <w:tab w:val="left" w:pos="10080"/>
          <w:tab w:val="left" w:pos="10800"/>
          <w:tab w:val="right" w:pos="11304"/>
          <w:tab w:val="left" w:pos="11520"/>
          <w:tab w:val="left" w:pos="12240"/>
          <w:tab w:val="left" w:pos="12960"/>
          <w:tab w:val="left" w:pos="13680"/>
          <w:tab w:val="left" w:pos="14400"/>
        </w:tabs>
        <w:ind w:left="720"/>
        <w:jc w:val="both"/>
        <w:rPr>
          <w:rFonts w:ascii="Times New Roman" w:hAnsi="Times New Roman"/>
          <w:sz w:val="24"/>
          <w:szCs w:val="24"/>
          <w:u w:val="single"/>
        </w:rPr>
      </w:pPr>
      <w:r w:rsidRPr="00E41221">
        <w:rPr>
          <w:rFonts w:ascii="Times New Roman" w:hAnsi="Times New Roman"/>
          <w:sz w:val="24"/>
          <w:szCs w:val="24"/>
        </w:rPr>
        <w:t xml:space="preserve">During the file review, no observations were identified.  </w:t>
      </w:r>
      <w:r w:rsidRPr="00797FD5">
        <w:rPr>
          <w:rFonts w:ascii="Times New Roman" w:hAnsi="Times New Roman"/>
          <w:sz w:val="24"/>
          <w:szCs w:val="24"/>
        </w:rPr>
        <w:t>All REDB case files demonstrated investigative diligence and organization</w:t>
      </w:r>
      <w:r w:rsidRPr="00E41221">
        <w:rPr>
          <w:rFonts w:ascii="Times New Roman" w:hAnsi="Times New Roman"/>
          <w:sz w:val="24"/>
          <w:szCs w:val="24"/>
        </w:rPr>
        <w:t>.</w:t>
      </w:r>
      <w:r w:rsidRPr="002D53CC">
        <w:rPr>
          <w:rFonts w:ascii="Times New Roman" w:hAnsi="Times New Roman"/>
          <w:sz w:val="24"/>
          <w:szCs w:val="24"/>
        </w:rPr>
        <w:t xml:space="preserve">  </w:t>
      </w:r>
    </w:p>
    <w:p w14:paraId="699267DB" w14:textId="77777777" w:rsidR="00C06BA4" w:rsidRPr="002D53CC" w:rsidRDefault="00C06BA4" w:rsidP="00C06BA4"/>
    <w:p w14:paraId="2E53DA01" w14:textId="77777777" w:rsidR="00384419" w:rsidRDefault="009D79D6">
      <w:pPr>
        <w:tabs>
          <w:tab w:val="left" w:pos="1620"/>
        </w:tabs>
        <w:ind w:left="1440" w:hanging="1080"/>
        <w:rPr>
          <w:b/>
        </w:rPr>
      </w:pPr>
      <w:r>
        <w:rPr>
          <w:b/>
        </w:rPr>
        <w:t xml:space="preserve">8.  </w:t>
      </w:r>
      <w:r>
        <w:rPr>
          <w:rFonts w:ascii="Times New Roman Bold" w:hAnsi="Times New Roman Bold"/>
          <w:b/>
          <w:caps/>
        </w:rPr>
        <w:t>Complaint About State Program Administration</w:t>
      </w:r>
      <w:r>
        <w:rPr>
          <w:b/>
        </w:rPr>
        <w:t xml:space="preserve"> (CASPA) </w:t>
      </w:r>
    </w:p>
    <w:p w14:paraId="61DF3054" w14:textId="77777777" w:rsidR="00384419" w:rsidRDefault="00384419">
      <w:pPr>
        <w:widowControl/>
        <w:autoSpaceDE/>
        <w:autoSpaceDN/>
        <w:adjustRightInd/>
        <w:spacing w:after="200"/>
        <w:ind w:left="720"/>
        <w:contextualSpacing/>
        <w:jc w:val="both"/>
      </w:pPr>
    </w:p>
    <w:p w14:paraId="4A4DE9CC" w14:textId="15D89C15" w:rsidR="00384419" w:rsidRPr="006C3C0D" w:rsidRDefault="009D79D6">
      <w:pPr>
        <w:widowControl/>
        <w:autoSpaceDE/>
        <w:autoSpaceDN/>
        <w:adjustRightInd/>
        <w:spacing w:after="200"/>
        <w:ind w:left="720"/>
        <w:contextualSpacing/>
        <w:jc w:val="both"/>
      </w:pPr>
      <w:r w:rsidRPr="006C3C0D">
        <w:t xml:space="preserve">During this evaluation period, </w:t>
      </w:r>
      <w:r w:rsidR="00FB6242" w:rsidRPr="006C3C0D">
        <w:t>no</w:t>
      </w:r>
      <w:r w:rsidRPr="006C3C0D">
        <w:t xml:space="preserve"> CASPAs</w:t>
      </w:r>
      <w:r w:rsidR="00FB6242" w:rsidRPr="006C3C0D">
        <w:t xml:space="preserve"> were received</w:t>
      </w:r>
      <w:r w:rsidRPr="006C3C0D">
        <w:t xml:space="preserve"> regarding the </w:t>
      </w:r>
      <w:r w:rsidR="00FB6242" w:rsidRPr="006C3C0D">
        <w:t xml:space="preserve">NC DOL </w:t>
      </w:r>
      <w:r w:rsidRPr="006C3C0D">
        <w:t xml:space="preserve">OSH Division.  </w:t>
      </w:r>
    </w:p>
    <w:p w14:paraId="2A0F0470" w14:textId="77777777" w:rsidR="00384419" w:rsidRPr="006C3C0D" w:rsidRDefault="00384419">
      <w:pPr>
        <w:tabs>
          <w:tab w:val="left" w:pos="1620"/>
        </w:tabs>
        <w:ind w:left="630" w:hanging="270"/>
        <w:rPr>
          <w:i/>
        </w:rPr>
      </w:pPr>
    </w:p>
    <w:p w14:paraId="1D2A018D" w14:textId="77777777" w:rsidR="00384419" w:rsidRDefault="009D79D6">
      <w:pPr>
        <w:ind w:left="450"/>
        <w:rPr>
          <w:b/>
          <w:caps/>
        </w:rPr>
      </w:pPr>
      <w:r>
        <w:rPr>
          <w:b/>
        </w:rPr>
        <w:t xml:space="preserve">9.   </w:t>
      </w:r>
      <w:r>
        <w:rPr>
          <w:b/>
          <w:caps/>
        </w:rPr>
        <w:t>Voluntary Compliance Program</w:t>
      </w:r>
    </w:p>
    <w:p w14:paraId="6F8A2EEC" w14:textId="77777777" w:rsidR="00384419" w:rsidRDefault="00384419">
      <w:pPr>
        <w:ind w:left="810"/>
        <w:jc w:val="both"/>
      </w:pPr>
    </w:p>
    <w:p w14:paraId="2337167D" w14:textId="3605143E" w:rsidR="00384419" w:rsidRPr="006C3C0D" w:rsidRDefault="009D79D6">
      <w:pPr>
        <w:ind w:left="810"/>
        <w:jc w:val="both"/>
      </w:pPr>
      <w:r w:rsidRPr="006C3C0D">
        <w:t>The Education, Training and Technical Assistance (ETTA) and the Consultation Bureaus are responsible for the administration of the cooperative agreements. Administrative Procedure Notice (APN) 18</w:t>
      </w:r>
      <w:r w:rsidR="00BA33BE" w:rsidRPr="006C3C0D">
        <w:t>S</w:t>
      </w:r>
      <w:r w:rsidRPr="006C3C0D">
        <w:t xml:space="preserve"> addresses the cooperative agreements programs and clearly distinguishes the differences between Alliances and Partnerships. APN 18</w:t>
      </w:r>
      <w:r w:rsidR="00BA33BE" w:rsidRPr="006C3C0D">
        <w:t>S</w:t>
      </w:r>
      <w:r w:rsidRPr="006C3C0D">
        <w:t xml:space="preserve">, Cooperative Agreements, is the document used to establish the procedures to be followed for Alliances and Partnerships agreements and is designed to enhance the ability of the Occupational Safety and Health Division to meet its strategic goals. The primary purpose of Alliances and Partnerships in North Carolina are to serve as an effective means of targeting resources to special emphasis programs (SEPs) areas in a cooperative manner. </w:t>
      </w:r>
    </w:p>
    <w:p w14:paraId="13666B8A" w14:textId="77777777" w:rsidR="00384419" w:rsidRPr="006C3C0D" w:rsidRDefault="00384419">
      <w:pPr>
        <w:ind w:left="810"/>
      </w:pPr>
    </w:p>
    <w:p w14:paraId="5B385477" w14:textId="77777777" w:rsidR="00384419" w:rsidRPr="006C3C0D" w:rsidRDefault="009D79D6">
      <w:pPr>
        <w:ind w:left="810"/>
        <w:rPr>
          <w:b/>
        </w:rPr>
      </w:pPr>
      <w:r w:rsidRPr="006C3C0D">
        <w:rPr>
          <w:b/>
        </w:rPr>
        <w:t xml:space="preserve">Alliance </w:t>
      </w:r>
    </w:p>
    <w:p w14:paraId="1B0D3013" w14:textId="77777777" w:rsidR="00384419" w:rsidRPr="006C3C0D" w:rsidRDefault="00384419">
      <w:pPr>
        <w:ind w:left="810"/>
      </w:pPr>
    </w:p>
    <w:p w14:paraId="63FA1062" w14:textId="4B389530" w:rsidR="00384419" w:rsidRPr="006C3C0D" w:rsidRDefault="009D79D6">
      <w:pPr>
        <w:ind w:left="810"/>
        <w:jc w:val="both"/>
      </w:pPr>
      <w:r w:rsidRPr="006C3C0D">
        <w:t xml:space="preserve">The Alliance Team Leader is responsible for coordinating the Alliance Program.  The State Plans Alliance Program is similar to OSHA’s Alliance Program, with a few exceptions.  </w:t>
      </w:r>
      <w:r>
        <w:t xml:space="preserve">For example, </w:t>
      </w:r>
      <w:r w:rsidR="009A7AEE">
        <w:t>most</w:t>
      </w:r>
      <w:r w:rsidRPr="006C3C0D">
        <w:t xml:space="preserve"> NC OSH’s Alliances are limited to a two-year term with the opportunity for renewal.  The exceptions to this policy are in operation for an indefinite time-period. During this audit, it was once again confirmed that the indefinite expiration period has not adversely impacted the State Plans Alliance Program.  Additionally, each Alliance agreement includes a termination clause, which enables OSHNC to terminate an ineffective agreement. OSHNC currently has </w:t>
      </w:r>
      <w:r w:rsidR="0012023C" w:rsidRPr="006C3C0D">
        <w:t>nine</w:t>
      </w:r>
      <w:r w:rsidRPr="006C3C0D">
        <w:t xml:space="preserve"> (</w:t>
      </w:r>
      <w:r w:rsidR="0012023C" w:rsidRPr="006C3C0D">
        <w:t>9</w:t>
      </w:r>
      <w:r w:rsidRPr="006C3C0D">
        <w:t xml:space="preserve">) active Alliances focusing on SEPs.  A randomly selected number of the Alliance files were reviewed and found to contain the necessary information.  </w:t>
      </w:r>
    </w:p>
    <w:p w14:paraId="0B536462" w14:textId="77777777" w:rsidR="00384419" w:rsidRPr="006C3C0D" w:rsidRDefault="00384419">
      <w:pPr>
        <w:ind w:left="810"/>
        <w:jc w:val="both"/>
      </w:pPr>
    </w:p>
    <w:tbl>
      <w:tblPr>
        <w:tblStyle w:val="TableGrid"/>
        <w:tblW w:w="0" w:type="auto"/>
        <w:tblInd w:w="810" w:type="dxa"/>
        <w:tblLook w:val="04A0" w:firstRow="1" w:lastRow="0" w:firstColumn="1" w:lastColumn="0" w:noHBand="0" w:noVBand="1"/>
      </w:tblPr>
      <w:tblGrid>
        <w:gridCol w:w="4675"/>
        <w:gridCol w:w="4675"/>
      </w:tblGrid>
      <w:tr w:rsidR="00CC2B8A" w:rsidRPr="006C3C0D" w14:paraId="17C597A3" w14:textId="77777777" w:rsidTr="0020755C">
        <w:tc>
          <w:tcPr>
            <w:tcW w:w="4675" w:type="dxa"/>
          </w:tcPr>
          <w:p w14:paraId="74B75B70" w14:textId="77777777" w:rsidR="00CC2B8A" w:rsidRPr="006C3C0D" w:rsidRDefault="00CC2B8A">
            <w:pPr>
              <w:jc w:val="center"/>
              <w:rPr>
                <w:b/>
              </w:rPr>
            </w:pPr>
            <w:r w:rsidRPr="006C3C0D">
              <w:rPr>
                <w:b/>
              </w:rPr>
              <w:t>Active Alliances</w:t>
            </w:r>
          </w:p>
        </w:tc>
        <w:tc>
          <w:tcPr>
            <w:tcW w:w="4675" w:type="dxa"/>
          </w:tcPr>
          <w:p w14:paraId="193EC2D8" w14:textId="1244CE9F" w:rsidR="00CC2B8A" w:rsidRPr="006C3C0D" w:rsidRDefault="00CC2B8A">
            <w:pPr>
              <w:jc w:val="center"/>
              <w:rPr>
                <w:b/>
              </w:rPr>
            </w:pPr>
          </w:p>
        </w:tc>
      </w:tr>
      <w:tr w:rsidR="00384419" w:rsidRPr="006C3C0D" w14:paraId="5554E6F5" w14:textId="77777777">
        <w:tc>
          <w:tcPr>
            <w:tcW w:w="4675" w:type="dxa"/>
          </w:tcPr>
          <w:p w14:paraId="1257006A" w14:textId="77777777" w:rsidR="00384419" w:rsidRPr="006C3C0D" w:rsidRDefault="009D79D6">
            <w:r w:rsidRPr="006C3C0D">
              <w:t>Carolinas Associated General Contractors</w:t>
            </w:r>
          </w:p>
        </w:tc>
        <w:tc>
          <w:tcPr>
            <w:tcW w:w="4675" w:type="dxa"/>
          </w:tcPr>
          <w:p w14:paraId="2EB79ED4" w14:textId="77777777" w:rsidR="00384419" w:rsidRPr="006C3C0D" w:rsidRDefault="009D79D6">
            <w:r w:rsidRPr="006C3C0D">
              <w:t>Lamar Advertising Company</w:t>
            </w:r>
          </w:p>
        </w:tc>
      </w:tr>
      <w:tr w:rsidR="00384419" w:rsidRPr="006C3C0D" w14:paraId="0D316AFA" w14:textId="77777777">
        <w:tc>
          <w:tcPr>
            <w:tcW w:w="4675" w:type="dxa"/>
          </w:tcPr>
          <w:p w14:paraId="352D2AD5" w14:textId="77777777" w:rsidR="00384419" w:rsidRPr="006C3C0D" w:rsidRDefault="009D79D6">
            <w:r w:rsidRPr="006C3C0D">
              <w:t xml:space="preserve">Safety &amp; Health Council of North Carolina </w:t>
            </w:r>
          </w:p>
        </w:tc>
        <w:tc>
          <w:tcPr>
            <w:tcW w:w="4675" w:type="dxa"/>
          </w:tcPr>
          <w:p w14:paraId="20D10173" w14:textId="77777777" w:rsidR="00384419" w:rsidRPr="006C3C0D" w:rsidRDefault="009D79D6">
            <w:r w:rsidRPr="006C3C0D">
              <w:t xml:space="preserve">North Carolina State University Industrial Expansion Solutions </w:t>
            </w:r>
          </w:p>
        </w:tc>
      </w:tr>
      <w:tr w:rsidR="00384419" w:rsidRPr="006C3C0D" w14:paraId="4981F401" w14:textId="77777777">
        <w:tc>
          <w:tcPr>
            <w:tcW w:w="4675" w:type="dxa"/>
          </w:tcPr>
          <w:p w14:paraId="3BE1B643" w14:textId="77777777" w:rsidR="00384419" w:rsidRPr="006C3C0D" w:rsidRDefault="009D79D6">
            <w:r w:rsidRPr="006C3C0D">
              <w:t xml:space="preserve">Mexican Consulate for the Carolinas </w:t>
            </w:r>
          </w:p>
        </w:tc>
        <w:tc>
          <w:tcPr>
            <w:tcW w:w="4675" w:type="dxa"/>
          </w:tcPr>
          <w:p w14:paraId="5D1A0014" w14:textId="77777777" w:rsidR="00384419" w:rsidRPr="006C3C0D" w:rsidRDefault="009D79D6">
            <w:r w:rsidRPr="006C3C0D">
              <w:t>North Carolina Utility Contractors Association of North Carolina (NCUCA</w:t>
            </w:r>
          </w:p>
        </w:tc>
      </w:tr>
      <w:tr w:rsidR="00384419" w:rsidRPr="006C3C0D" w14:paraId="0C9909ED" w14:textId="77777777">
        <w:tc>
          <w:tcPr>
            <w:tcW w:w="4675" w:type="dxa"/>
          </w:tcPr>
          <w:p w14:paraId="197AA40E" w14:textId="77777777" w:rsidR="00384419" w:rsidRPr="006C3C0D" w:rsidRDefault="009D79D6">
            <w:r w:rsidRPr="006C3C0D">
              <w:t>North Carolina Association of Local Government Employee Safety Officials</w:t>
            </w:r>
          </w:p>
        </w:tc>
        <w:tc>
          <w:tcPr>
            <w:tcW w:w="4675" w:type="dxa"/>
          </w:tcPr>
          <w:p w14:paraId="10F470D3" w14:textId="6C581C93" w:rsidR="00384419" w:rsidRPr="006C3C0D" w:rsidRDefault="3CA4488B">
            <w:r>
              <w:t>Plum</w:t>
            </w:r>
            <w:r w:rsidR="4A4A7B74">
              <w:t>b</w:t>
            </w:r>
            <w:r>
              <w:t>ing</w:t>
            </w:r>
            <w:r w:rsidR="00857801" w:rsidRPr="006C3C0D">
              <w:t xml:space="preserve">-Heating-Cooling </w:t>
            </w:r>
            <w:r w:rsidR="0012023C" w:rsidRPr="006C3C0D">
              <w:t>Contractor’s Association</w:t>
            </w:r>
          </w:p>
        </w:tc>
      </w:tr>
      <w:tr w:rsidR="00857801" w:rsidRPr="006C3C0D" w14:paraId="4000AA54" w14:textId="77777777">
        <w:tc>
          <w:tcPr>
            <w:tcW w:w="4675" w:type="dxa"/>
          </w:tcPr>
          <w:p w14:paraId="169DFCB3" w14:textId="487DA483" w:rsidR="00857801" w:rsidRPr="006C3C0D" w:rsidRDefault="0012023C">
            <w:r w:rsidRPr="006C3C0D">
              <w:t>N.C. Masonry Contractors Association</w:t>
            </w:r>
          </w:p>
        </w:tc>
        <w:tc>
          <w:tcPr>
            <w:tcW w:w="4675" w:type="dxa"/>
          </w:tcPr>
          <w:p w14:paraId="45F41619" w14:textId="77777777" w:rsidR="00857801" w:rsidRPr="006C3C0D" w:rsidRDefault="00857801"/>
        </w:tc>
      </w:tr>
    </w:tbl>
    <w:p w14:paraId="661E7035" w14:textId="77777777" w:rsidR="00384419" w:rsidRPr="006C3C0D" w:rsidRDefault="00384419">
      <w:pPr>
        <w:ind w:left="810"/>
      </w:pPr>
    </w:p>
    <w:p w14:paraId="38C39A6A" w14:textId="77777777" w:rsidR="00384419" w:rsidRPr="006C3C0D" w:rsidRDefault="009D79D6">
      <w:pPr>
        <w:ind w:left="810"/>
        <w:rPr>
          <w:b/>
        </w:rPr>
      </w:pPr>
      <w:r w:rsidRPr="006C3C0D">
        <w:rPr>
          <w:b/>
        </w:rPr>
        <w:t xml:space="preserve">Partnership </w:t>
      </w:r>
    </w:p>
    <w:p w14:paraId="4307A355" w14:textId="77777777" w:rsidR="00384419" w:rsidRPr="006C3C0D" w:rsidRDefault="00384419">
      <w:pPr>
        <w:ind w:left="810"/>
      </w:pPr>
    </w:p>
    <w:p w14:paraId="1711D105" w14:textId="4F23E54C" w:rsidR="00384419" w:rsidRPr="006C3C0D" w:rsidRDefault="009D79D6">
      <w:pPr>
        <w:ind w:left="810"/>
        <w:jc w:val="both"/>
      </w:pPr>
      <w:r w:rsidRPr="006C3C0D">
        <w:t>The Partnership Team Leader is responsible for coordinating the State’s Partnership Program.  Guidelines for the program can be found in APN 18</w:t>
      </w:r>
      <w:r w:rsidR="000762FE" w:rsidRPr="006C3C0D">
        <w:t>S</w:t>
      </w:r>
      <w:r w:rsidRPr="006C3C0D">
        <w:t>, which is the same directive that addresses the Alliance Program.  OSHNC’s Partnership Program is focused on the construction industry.  Currently, the State Plan has t</w:t>
      </w:r>
      <w:r w:rsidR="000762FE" w:rsidRPr="006C3C0D">
        <w:t>hree</w:t>
      </w:r>
      <w:r w:rsidRPr="006C3C0D">
        <w:t xml:space="preserve"> (</w:t>
      </w:r>
      <w:r w:rsidR="000762FE" w:rsidRPr="006C3C0D">
        <w:t>3</w:t>
      </w:r>
      <w:r w:rsidRPr="006C3C0D">
        <w:t xml:space="preserve">) active Partnerships, which were reviewed during this audit. Participants must </w:t>
      </w:r>
      <w:proofErr w:type="gramStart"/>
      <w:r w:rsidRPr="006C3C0D">
        <w:t>submit an application</w:t>
      </w:r>
      <w:proofErr w:type="gramEnd"/>
      <w:r w:rsidRPr="006C3C0D">
        <w:t xml:space="preserve"> for participation, which must be approved by a panel within OSHNC.  Participants are limited to two Partnership worksites, within a ten-year period; however, the OSHNC Director or Commissioner of Labor can waive this restriction.  This limit was established to ensure that a diverse group of employers are permitted the opportunity to participate in the program. Also, a variety of construction projects are represented in the program, and the partnership limit ensures that OSHNC can effectively manage the program.  </w:t>
      </w:r>
    </w:p>
    <w:p w14:paraId="218C57D4" w14:textId="77777777" w:rsidR="00384419" w:rsidRPr="006C3C0D" w:rsidRDefault="00384419">
      <w:pPr>
        <w:ind w:left="810"/>
        <w:jc w:val="both"/>
      </w:pPr>
    </w:p>
    <w:p w14:paraId="20121D89" w14:textId="1D847AF5" w:rsidR="00384419" w:rsidRDefault="009D79D6">
      <w:pPr>
        <w:ind w:left="810"/>
        <w:jc w:val="both"/>
      </w:pPr>
      <w:r w:rsidRPr="006C3C0D">
        <w:t>OSHNC’s Partnership Program includes a provision that exempts Partnership worksites from programmed inspections.  However, these worksites must provide the State Plan with injury and illness data</w:t>
      </w:r>
      <w:r w:rsidR="001B6071">
        <w:t>,</w:t>
      </w:r>
      <w:r w:rsidRPr="006C3C0D">
        <w:t xml:space="preserve"> monthly.  </w:t>
      </w:r>
      <w:r w:rsidR="00F347ED" w:rsidRPr="006C3C0D">
        <w:t xml:space="preserve">In </w:t>
      </w:r>
      <w:r w:rsidRPr="006C3C0D">
        <w:t>Addition, Partnership worksites receive quarterly inspections from OSHNC.  Serious violations observed during the verification must be abated immediately.  The Partnership worksites are also required to meet quarterly to assess the site’s progress.  Additionally, the worksite must maintain a DART rate 20% below the national DART rate for the industry.</w:t>
      </w:r>
      <w:r>
        <w:t xml:space="preserve">  </w:t>
      </w:r>
    </w:p>
    <w:p w14:paraId="7203C91D" w14:textId="77777777" w:rsidR="00384419" w:rsidRDefault="00384419">
      <w:pPr>
        <w:ind w:left="810"/>
        <w:jc w:val="both"/>
      </w:pPr>
    </w:p>
    <w:p w14:paraId="16474E28" w14:textId="74CBA5BF" w:rsidR="00384419" w:rsidRDefault="009D79D6">
      <w:pPr>
        <w:ind w:left="810"/>
        <w:jc w:val="both"/>
      </w:pPr>
      <w:r>
        <w:t>The State Plan’s current Partnership policy is continually reviewed, and unprogrammed inspections are still conducted, because of formal complaint</w:t>
      </w:r>
      <w:r w:rsidR="00EB44BB">
        <w:t>s</w:t>
      </w:r>
      <w:r>
        <w:t xml:space="preserve">, or job site accidents resulting in hospitalizations or death. A review of the Partnership files revealed that they contained the necessary information, including the quarterly technical assistance visits and the monthly reports. </w:t>
      </w:r>
    </w:p>
    <w:p w14:paraId="488E084E" w14:textId="77777777" w:rsidR="00384419" w:rsidRDefault="00384419">
      <w:pPr>
        <w:ind w:left="810"/>
      </w:pPr>
    </w:p>
    <w:p w14:paraId="2E4BB161" w14:textId="77777777" w:rsidR="00366B2D" w:rsidRDefault="00366B2D">
      <w:pPr>
        <w:ind w:left="810"/>
        <w:rPr>
          <w:b/>
        </w:rPr>
      </w:pPr>
    </w:p>
    <w:p w14:paraId="4AE1AE34" w14:textId="77777777" w:rsidR="00366B2D" w:rsidRDefault="00366B2D">
      <w:pPr>
        <w:ind w:left="810"/>
        <w:rPr>
          <w:b/>
        </w:rPr>
      </w:pPr>
    </w:p>
    <w:p w14:paraId="0BE185E2" w14:textId="28E095DB" w:rsidR="00384419" w:rsidRDefault="009D79D6">
      <w:pPr>
        <w:ind w:left="810"/>
        <w:rPr>
          <w:b/>
        </w:rPr>
      </w:pPr>
      <w:r>
        <w:rPr>
          <w:b/>
        </w:rPr>
        <w:lastRenderedPageBreak/>
        <w:t>Carolina Star Program – Voluntary Protection Programs (VPP)</w:t>
      </w:r>
    </w:p>
    <w:p w14:paraId="65D9F801" w14:textId="77777777" w:rsidR="00384419" w:rsidRDefault="00384419">
      <w:pPr>
        <w:ind w:left="810"/>
        <w:rPr>
          <w:b/>
        </w:rPr>
      </w:pPr>
    </w:p>
    <w:p w14:paraId="760C3473" w14:textId="77777777" w:rsidR="00384419" w:rsidRPr="006C3C0D" w:rsidRDefault="009D79D6">
      <w:pPr>
        <w:ind w:left="810"/>
        <w:jc w:val="both"/>
      </w:pPr>
      <w:r w:rsidRPr="006C3C0D">
        <w:t>Voluntary Protection Program eligibility requirements for the Carolina Star Program are more stringent than OSHA’s.   Employers in the North American Industry Classification System (NAICS) with codes 23 and 31-33 may apply.  Employers are required to maintain injury and illness rates at least 50% below the rate for that industry in North Carolina.  Initial re-evaluations are conducted at three-years, and the subsequent re-evaluations are conducted every five-years.</w:t>
      </w:r>
    </w:p>
    <w:p w14:paraId="4D4503CE" w14:textId="77777777" w:rsidR="00384419" w:rsidRPr="006C3C0D" w:rsidRDefault="00384419">
      <w:pPr>
        <w:ind w:left="810"/>
        <w:jc w:val="both"/>
      </w:pPr>
    </w:p>
    <w:p w14:paraId="6BAFE28E" w14:textId="191B9302" w:rsidR="00384419" w:rsidRPr="006C3C0D" w:rsidRDefault="009D79D6">
      <w:pPr>
        <w:ind w:left="810"/>
        <w:jc w:val="both"/>
      </w:pPr>
      <w:r w:rsidRPr="006C3C0D">
        <w:t xml:space="preserve">The ETTA Recognition Program Section trained </w:t>
      </w:r>
      <w:r w:rsidR="00E961A9" w:rsidRPr="006C3C0D">
        <w:t>twenty-one</w:t>
      </w:r>
      <w:r w:rsidRPr="006C3C0D">
        <w:t xml:space="preserve"> (</w:t>
      </w:r>
      <w:r w:rsidR="00E961A9" w:rsidRPr="006C3C0D">
        <w:t>21</w:t>
      </w:r>
      <w:r w:rsidRPr="006C3C0D">
        <w:t xml:space="preserve">) new Special Star Team Members (SSTM) and recertified four (4) SSTM during </w:t>
      </w:r>
      <w:r w:rsidR="00C510E1" w:rsidRPr="006C3C0D">
        <w:t>FY 2023</w:t>
      </w:r>
      <w:r w:rsidRPr="006C3C0D">
        <w:t xml:space="preserve">.  Additionally, the Carolina Star Program was responsible for ensuring the recertification of </w:t>
      </w:r>
      <w:r w:rsidR="004226A5" w:rsidRPr="006C3C0D">
        <w:t>2</w:t>
      </w:r>
      <w:r w:rsidRPr="006C3C0D">
        <w:t xml:space="preserve">5 Star worksites, in addition to the initial (new) approval of </w:t>
      </w:r>
      <w:r w:rsidR="004226A5" w:rsidRPr="006C3C0D">
        <w:t>six</w:t>
      </w:r>
      <w:r w:rsidRPr="006C3C0D">
        <w:t xml:space="preserve"> (</w:t>
      </w:r>
      <w:r w:rsidR="004226A5" w:rsidRPr="006C3C0D">
        <w:t>6</w:t>
      </w:r>
      <w:r w:rsidRPr="006C3C0D">
        <w:t>) Star worksite</w:t>
      </w:r>
      <w:r w:rsidR="005732C6">
        <w:t>s</w:t>
      </w:r>
      <w:r w:rsidRPr="006C3C0D">
        <w:t xml:space="preserve">, thereby ending the </w:t>
      </w:r>
      <w:r w:rsidR="00C510E1" w:rsidRPr="006C3C0D">
        <w:t>FY 2023</w:t>
      </w:r>
      <w:r w:rsidR="003312C2" w:rsidRPr="006C3C0D">
        <w:t xml:space="preserve"> </w:t>
      </w:r>
      <w:r w:rsidRPr="006C3C0D">
        <w:t>with a total of 1</w:t>
      </w:r>
      <w:r w:rsidR="004226A5" w:rsidRPr="006C3C0D">
        <w:t>50</w:t>
      </w:r>
      <w:r w:rsidRPr="006C3C0D">
        <w:t xml:space="preserve"> Star sites.  This total includes </w:t>
      </w:r>
      <w:r w:rsidR="004226A5" w:rsidRPr="006C3C0D">
        <w:t>104</w:t>
      </w:r>
      <w:r w:rsidRPr="006C3C0D">
        <w:t xml:space="preserve"> Carolina Star sites, </w:t>
      </w:r>
      <w:r w:rsidR="004226A5" w:rsidRPr="006C3C0D">
        <w:t>23</w:t>
      </w:r>
      <w:r w:rsidRPr="006C3C0D">
        <w:t xml:space="preserve"> Building Star sites, 1</w:t>
      </w:r>
      <w:r w:rsidR="004226A5" w:rsidRPr="006C3C0D">
        <w:t>8</w:t>
      </w:r>
      <w:r w:rsidRPr="006C3C0D">
        <w:t xml:space="preserve"> Public Sector Star sites, and </w:t>
      </w:r>
      <w:r w:rsidR="004226A5" w:rsidRPr="006C3C0D">
        <w:t>5</w:t>
      </w:r>
      <w:r w:rsidRPr="006C3C0D">
        <w:t xml:space="preserve"> Rising Star sites. </w:t>
      </w:r>
    </w:p>
    <w:p w14:paraId="519724D1" w14:textId="7E81C380" w:rsidR="00384419" w:rsidRPr="006C3C0D" w:rsidRDefault="00384419" w:rsidP="00875EB0">
      <w:pPr>
        <w:widowControl/>
        <w:autoSpaceDE/>
        <w:autoSpaceDN/>
        <w:adjustRightInd/>
        <w:spacing w:after="200"/>
        <w:contextualSpacing/>
      </w:pPr>
    </w:p>
    <w:p w14:paraId="2E6C4AB5" w14:textId="77777777" w:rsidR="00384419" w:rsidRPr="006C3C0D" w:rsidRDefault="009D79D6">
      <w:pPr>
        <w:tabs>
          <w:tab w:val="left" w:pos="1170"/>
        </w:tabs>
        <w:ind w:left="810" w:hanging="450"/>
        <w:rPr>
          <w:b/>
          <w:caps/>
        </w:rPr>
      </w:pPr>
      <w:r w:rsidRPr="006C3C0D">
        <w:rPr>
          <w:b/>
          <w:caps/>
        </w:rPr>
        <w:t>10.   STATE AND LOCAL GOVERNMENT 23</w:t>
      </w:r>
      <w:r w:rsidRPr="006C3C0D">
        <w:rPr>
          <w:rFonts w:ascii="Times New Roman Bold" w:hAnsi="Times New Roman Bold"/>
          <w:b/>
        </w:rPr>
        <w:t>(g</w:t>
      </w:r>
      <w:r w:rsidRPr="006C3C0D">
        <w:rPr>
          <w:b/>
          <w:caps/>
        </w:rPr>
        <w:t xml:space="preserve">) On-site CONSULTATION PROGRAM </w:t>
      </w:r>
    </w:p>
    <w:p w14:paraId="0B7AC0FF" w14:textId="77777777" w:rsidR="00384419" w:rsidRPr="006C3C0D" w:rsidRDefault="00384419">
      <w:pPr>
        <w:ind w:left="810"/>
        <w:jc w:val="both"/>
      </w:pPr>
    </w:p>
    <w:p w14:paraId="7F4AB5CC" w14:textId="7D1D1CD4" w:rsidR="00384419" w:rsidRPr="006C3C0D" w:rsidRDefault="009D79D6">
      <w:pPr>
        <w:ind w:left="810"/>
        <w:jc w:val="both"/>
      </w:pPr>
      <w:r w:rsidRPr="006C3C0D">
        <w:t xml:space="preserve">The consultation program continues to provide effective services to the state and local government employers and employees throughout the State.  For state and local government agency visits, the State Plan had a goal to reach </w:t>
      </w:r>
      <w:r w:rsidR="00856A7D" w:rsidRPr="006C3C0D">
        <w:t>190</w:t>
      </w:r>
      <w:r w:rsidRPr="006C3C0D">
        <w:t xml:space="preserve"> establishments during </w:t>
      </w:r>
      <w:r w:rsidR="00C510E1" w:rsidRPr="006C3C0D">
        <w:t>FY 2023</w:t>
      </w:r>
      <w:r w:rsidR="000D45C6">
        <w:t>,</w:t>
      </w:r>
      <w:r w:rsidRPr="006C3C0D">
        <w:t xml:space="preserve"> and reached that goal with 2</w:t>
      </w:r>
      <w:r w:rsidR="00856A7D" w:rsidRPr="006C3C0D">
        <w:t>55</w:t>
      </w:r>
      <w:r w:rsidRPr="006C3C0D">
        <w:t xml:space="preserve"> public sector visits.  The number of hazards abated during these visits to state and local government agencies are in the table below:</w:t>
      </w:r>
    </w:p>
    <w:p w14:paraId="702D5808" w14:textId="77777777" w:rsidR="00384419" w:rsidRPr="006C3C0D" w:rsidRDefault="00384419">
      <w:pPr>
        <w:ind w:left="810"/>
        <w:jc w:val="both"/>
      </w:pPr>
    </w:p>
    <w:tbl>
      <w:tblPr>
        <w:tblW w:w="0" w:type="auto"/>
        <w:tblInd w:w="810" w:type="dxa"/>
        <w:tblCellMar>
          <w:left w:w="0" w:type="dxa"/>
          <w:right w:w="0" w:type="dxa"/>
        </w:tblCellMar>
        <w:tblLook w:val="04A0" w:firstRow="1" w:lastRow="0" w:firstColumn="1" w:lastColumn="0" w:noHBand="0" w:noVBand="1"/>
      </w:tblPr>
      <w:tblGrid>
        <w:gridCol w:w="2402"/>
        <w:gridCol w:w="2276"/>
        <w:gridCol w:w="2402"/>
        <w:gridCol w:w="2260"/>
      </w:tblGrid>
      <w:tr w:rsidR="006C3C0D" w:rsidRPr="006C3C0D" w14:paraId="076DCC98" w14:textId="77777777">
        <w:tc>
          <w:tcPr>
            <w:tcW w:w="50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970DBD" w14:textId="77777777" w:rsidR="00384419" w:rsidRPr="006C3C0D" w:rsidRDefault="009D79D6">
            <w:pPr>
              <w:jc w:val="center"/>
              <w:rPr>
                <w:b/>
                <w:bCs/>
              </w:rPr>
            </w:pPr>
            <w:r w:rsidRPr="006C3C0D">
              <w:rPr>
                <w:b/>
                <w:bCs/>
              </w:rPr>
              <w:t>Serious Hazards Confirmed Abated</w:t>
            </w:r>
          </w:p>
        </w:tc>
        <w:tc>
          <w:tcPr>
            <w:tcW w:w="508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F6D59D" w14:textId="77777777" w:rsidR="00384419" w:rsidRPr="006C3C0D" w:rsidRDefault="009D79D6">
            <w:pPr>
              <w:jc w:val="center"/>
              <w:rPr>
                <w:b/>
                <w:bCs/>
              </w:rPr>
            </w:pPr>
            <w:r w:rsidRPr="006C3C0D">
              <w:rPr>
                <w:b/>
                <w:bCs/>
              </w:rPr>
              <w:t>Non-Serious Hazards Confirmed Abated</w:t>
            </w:r>
          </w:p>
        </w:tc>
      </w:tr>
      <w:tr w:rsidR="006C3C0D" w:rsidRPr="006C3C0D" w14:paraId="6FB85100" w14:textId="77777777">
        <w:tc>
          <w:tcPr>
            <w:tcW w:w="2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4E8D8E" w14:textId="77777777" w:rsidR="00384419" w:rsidRPr="006C3C0D" w:rsidRDefault="009D79D6">
            <w:pPr>
              <w:jc w:val="both"/>
              <w:rPr>
                <w:b/>
                <w:bCs/>
              </w:rPr>
            </w:pPr>
            <w:r w:rsidRPr="006C3C0D">
              <w:rPr>
                <w:b/>
                <w:bCs/>
              </w:rPr>
              <w:t xml:space="preserve">Total State and Local Government  </w:t>
            </w:r>
          </w:p>
        </w:tc>
        <w:tc>
          <w:tcPr>
            <w:tcW w:w="2540" w:type="dxa"/>
            <w:tcBorders>
              <w:top w:val="nil"/>
              <w:left w:val="nil"/>
              <w:bottom w:val="single" w:sz="8" w:space="0" w:color="auto"/>
              <w:right w:val="single" w:sz="8" w:space="0" w:color="auto"/>
            </w:tcBorders>
            <w:tcMar>
              <w:top w:w="0" w:type="dxa"/>
              <w:left w:w="108" w:type="dxa"/>
              <w:bottom w:w="0" w:type="dxa"/>
              <w:right w:w="108" w:type="dxa"/>
            </w:tcMar>
            <w:hideMark/>
          </w:tcPr>
          <w:p w14:paraId="52994C1D" w14:textId="0A2F9249" w:rsidR="00384419" w:rsidRPr="006C3C0D" w:rsidRDefault="00856A7D">
            <w:pPr>
              <w:jc w:val="center"/>
              <w:rPr>
                <w:b/>
                <w:bCs/>
              </w:rPr>
            </w:pPr>
            <w:r w:rsidRPr="006C3C0D">
              <w:rPr>
                <w:b/>
                <w:bCs/>
              </w:rPr>
              <w:t>894</w:t>
            </w:r>
          </w:p>
        </w:tc>
        <w:tc>
          <w:tcPr>
            <w:tcW w:w="2540" w:type="dxa"/>
            <w:tcBorders>
              <w:top w:val="nil"/>
              <w:left w:val="nil"/>
              <w:bottom w:val="single" w:sz="8" w:space="0" w:color="auto"/>
              <w:right w:val="single" w:sz="8" w:space="0" w:color="auto"/>
            </w:tcBorders>
            <w:tcMar>
              <w:top w:w="0" w:type="dxa"/>
              <w:left w:w="108" w:type="dxa"/>
              <w:bottom w:w="0" w:type="dxa"/>
              <w:right w:w="108" w:type="dxa"/>
            </w:tcMar>
            <w:hideMark/>
          </w:tcPr>
          <w:p w14:paraId="5E09D1F8" w14:textId="77777777" w:rsidR="00384419" w:rsidRPr="006C3C0D" w:rsidRDefault="009D79D6">
            <w:pPr>
              <w:jc w:val="both"/>
              <w:rPr>
                <w:b/>
                <w:bCs/>
              </w:rPr>
            </w:pPr>
            <w:r w:rsidRPr="006C3C0D">
              <w:rPr>
                <w:b/>
                <w:bCs/>
              </w:rPr>
              <w:t xml:space="preserve">Total State and Local Government </w:t>
            </w:r>
          </w:p>
        </w:tc>
        <w:tc>
          <w:tcPr>
            <w:tcW w:w="2540" w:type="dxa"/>
            <w:tcBorders>
              <w:top w:val="nil"/>
              <w:left w:val="nil"/>
              <w:bottom w:val="single" w:sz="8" w:space="0" w:color="auto"/>
              <w:right w:val="single" w:sz="8" w:space="0" w:color="auto"/>
            </w:tcBorders>
            <w:tcMar>
              <w:top w:w="0" w:type="dxa"/>
              <w:left w:w="108" w:type="dxa"/>
              <w:bottom w:w="0" w:type="dxa"/>
              <w:right w:w="108" w:type="dxa"/>
            </w:tcMar>
            <w:hideMark/>
          </w:tcPr>
          <w:p w14:paraId="39C90457" w14:textId="7D1D0B56" w:rsidR="00384419" w:rsidRPr="006C3C0D" w:rsidRDefault="00856A7D">
            <w:pPr>
              <w:jc w:val="center"/>
              <w:rPr>
                <w:b/>
                <w:bCs/>
              </w:rPr>
            </w:pPr>
            <w:r w:rsidRPr="006C3C0D">
              <w:rPr>
                <w:b/>
                <w:bCs/>
              </w:rPr>
              <w:t>40</w:t>
            </w:r>
          </w:p>
        </w:tc>
      </w:tr>
      <w:tr w:rsidR="00384419" w:rsidRPr="006C3C0D" w14:paraId="3A5E2797" w14:textId="77777777">
        <w:tc>
          <w:tcPr>
            <w:tcW w:w="2460" w:type="dxa"/>
            <w:vAlign w:val="center"/>
            <w:hideMark/>
          </w:tcPr>
          <w:p w14:paraId="0D084D36" w14:textId="77777777" w:rsidR="00384419" w:rsidRPr="006C3C0D" w:rsidRDefault="00384419">
            <w:pPr>
              <w:rPr>
                <w:b/>
                <w:bCs/>
                <w:sz w:val="20"/>
                <w:szCs w:val="20"/>
              </w:rPr>
            </w:pPr>
          </w:p>
        </w:tc>
        <w:tc>
          <w:tcPr>
            <w:tcW w:w="2430" w:type="dxa"/>
            <w:vAlign w:val="center"/>
            <w:hideMark/>
          </w:tcPr>
          <w:p w14:paraId="1286CCCA" w14:textId="77777777" w:rsidR="00384419" w:rsidRPr="006C3C0D" w:rsidRDefault="00384419">
            <w:pPr>
              <w:rPr>
                <w:sz w:val="20"/>
                <w:szCs w:val="20"/>
              </w:rPr>
            </w:pPr>
          </w:p>
        </w:tc>
        <w:tc>
          <w:tcPr>
            <w:tcW w:w="2460" w:type="dxa"/>
            <w:vAlign w:val="center"/>
            <w:hideMark/>
          </w:tcPr>
          <w:p w14:paraId="586B0F63" w14:textId="77777777" w:rsidR="00384419" w:rsidRPr="006C3C0D" w:rsidRDefault="00384419">
            <w:pPr>
              <w:rPr>
                <w:sz w:val="20"/>
                <w:szCs w:val="20"/>
              </w:rPr>
            </w:pPr>
          </w:p>
        </w:tc>
        <w:tc>
          <w:tcPr>
            <w:tcW w:w="2430" w:type="dxa"/>
            <w:vAlign w:val="center"/>
            <w:hideMark/>
          </w:tcPr>
          <w:p w14:paraId="1E3A3709" w14:textId="77777777" w:rsidR="00384419" w:rsidRPr="006C3C0D" w:rsidRDefault="00384419">
            <w:pPr>
              <w:rPr>
                <w:sz w:val="20"/>
                <w:szCs w:val="20"/>
              </w:rPr>
            </w:pPr>
          </w:p>
        </w:tc>
      </w:tr>
    </w:tbl>
    <w:p w14:paraId="5B8C93A6" w14:textId="77777777" w:rsidR="00C854A6" w:rsidRDefault="00C854A6">
      <w:pPr>
        <w:ind w:left="810"/>
        <w:jc w:val="both"/>
      </w:pPr>
    </w:p>
    <w:p w14:paraId="2AC7705F" w14:textId="150E2ACC" w:rsidR="00384419" w:rsidRPr="006C3C0D" w:rsidRDefault="009D79D6">
      <w:pPr>
        <w:ind w:left="810"/>
        <w:jc w:val="both"/>
      </w:pPr>
      <w:r w:rsidRPr="006C3C0D">
        <w:t xml:space="preserve">OSHNC Consultants continue to demonstrate special commitment to the state and local government agency surveys and services, since many of the state and local government sector employers in small towns have very limited safety and health resources.  OSHNC consultants can quickly assist state and local government agencies with safety and health program development, expert hazard evaluations and other services.  Because of the number of public sites with similar operations, OSHNC consultants are very familiar with program needs in this sector, and they continue to build on their consultative experience base to offer expert service to state and local government agency clients. Additionally, based on the select sample of state and local government sector consultation case file review, the determination was made that the program continues to effectively serve the state and local government sector.  </w:t>
      </w:r>
    </w:p>
    <w:p w14:paraId="402EC082" w14:textId="77777777" w:rsidR="00384419" w:rsidRPr="006C3C0D" w:rsidRDefault="00384419">
      <w:pPr>
        <w:tabs>
          <w:tab w:val="left" w:pos="2160"/>
        </w:tabs>
        <w:spacing w:after="200"/>
        <w:ind w:left="2520"/>
        <w:contextualSpacing/>
      </w:pPr>
    </w:p>
    <w:p w14:paraId="5C9C0674" w14:textId="77777777" w:rsidR="00384419" w:rsidRPr="006C3C0D" w:rsidRDefault="00384419"/>
    <w:p w14:paraId="68B07810" w14:textId="77777777" w:rsidR="00384419" w:rsidRDefault="00384419">
      <w:pPr>
        <w:rPr>
          <w:i/>
        </w:rPr>
        <w:sectPr w:rsidR="00384419" w:rsidSect="001A35DD">
          <w:footerReference w:type="default" r:id="rId25"/>
          <w:footerReference w:type="first" r:id="rId26"/>
          <w:pgSz w:w="12240" w:h="15840"/>
          <w:pgMar w:top="1170" w:right="900" w:bottom="720" w:left="1170" w:header="720" w:footer="443" w:gutter="0"/>
          <w:pgNumType w:start="1"/>
          <w:cols w:space="720"/>
          <w:titlePg/>
          <w:rtlGutter/>
          <w:docGrid w:linePitch="360"/>
        </w:sectPr>
      </w:pPr>
    </w:p>
    <w:tbl>
      <w:tblPr>
        <w:tblStyle w:val="TableGrid"/>
        <w:tblW w:w="12870" w:type="dxa"/>
        <w:tblLook w:val="01E0" w:firstRow="1" w:lastRow="1" w:firstColumn="1" w:lastColumn="1" w:noHBand="0" w:noVBand="0"/>
        <w:tblCaption w:val="New and Continued Findings and Recommendations"/>
        <w:tblDescription w:val="Appendix X"/>
      </w:tblPr>
      <w:tblGrid>
        <w:gridCol w:w="1440"/>
        <w:gridCol w:w="4721"/>
        <w:gridCol w:w="4819"/>
        <w:gridCol w:w="1890"/>
      </w:tblGrid>
      <w:tr w:rsidR="00384419" w14:paraId="31CD6ECC" w14:textId="77777777">
        <w:trPr>
          <w:trHeight w:val="350"/>
          <w:tblHeader/>
        </w:trPr>
        <w:tc>
          <w:tcPr>
            <w:tcW w:w="1440" w:type="dxa"/>
            <w:shd w:val="clear" w:color="auto" w:fill="1F497D" w:themeFill="text2"/>
          </w:tcPr>
          <w:p w14:paraId="54FAFB8B" w14:textId="7B2D9E7C" w:rsidR="00384419" w:rsidRDefault="00C510E1">
            <w:pPr>
              <w:widowControl/>
              <w:autoSpaceDE/>
              <w:autoSpaceDN/>
              <w:adjustRightInd/>
              <w:jc w:val="center"/>
              <w:rPr>
                <w:b/>
                <w:color w:val="FFFFFF" w:themeColor="background1"/>
              </w:rPr>
            </w:pPr>
            <w:r>
              <w:rPr>
                <w:b/>
                <w:color w:val="FFFFFF" w:themeColor="background1"/>
              </w:rPr>
              <w:lastRenderedPageBreak/>
              <w:t>FY 2023</w:t>
            </w:r>
            <w:r w:rsidR="009D79D6">
              <w:rPr>
                <w:b/>
                <w:color w:val="FFFFFF" w:themeColor="background1"/>
              </w:rPr>
              <w:t>-#</w:t>
            </w:r>
          </w:p>
        </w:tc>
        <w:tc>
          <w:tcPr>
            <w:tcW w:w="4721" w:type="dxa"/>
            <w:shd w:val="clear" w:color="auto" w:fill="1F497D" w:themeFill="text2"/>
          </w:tcPr>
          <w:p w14:paraId="3B90D565" w14:textId="77777777" w:rsidR="00384419" w:rsidRDefault="009D79D6">
            <w:pPr>
              <w:widowControl/>
              <w:autoSpaceDE/>
              <w:autoSpaceDN/>
              <w:adjustRightInd/>
              <w:jc w:val="center"/>
              <w:rPr>
                <w:b/>
                <w:color w:val="FFFFFF" w:themeColor="background1"/>
              </w:rPr>
            </w:pPr>
            <w:r>
              <w:rPr>
                <w:b/>
                <w:color w:val="FFFFFF" w:themeColor="background1"/>
              </w:rPr>
              <w:t>Finding</w:t>
            </w:r>
          </w:p>
        </w:tc>
        <w:tc>
          <w:tcPr>
            <w:tcW w:w="4819" w:type="dxa"/>
            <w:shd w:val="clear" w:color="auto" w:fill="1F497D" w:themeFill="text2"/>
          </w:tcPr>
          <w:p w14:paraId="3E574B9F" w14:textId="77777777" w:rsidR="00384419" w:rsidRDefault="009D79D6">
            <w:pPr>
              <w:widowControl/>
              <w:autoSpaceDE/>
              <w:autoSpaceDN/>
              <w:adjustRightInd/>
              <w:jc w:val="center"/>
              <w:rPr>
                <w:b/>
                <w:color w:val="FFFFFF" w:themeColor="background1"/>
              </w:rPr>
            </w:pPr>
            <w:r>
              <w:rPr>
                <w:b/>
                <w:color w:val="FFFFFF" w:themeColor="background1"/>
              </w:rPr>
              <w:t>Recommendation</w:t>
            </w:r>
          </w:p>
        </w:tc>
        <w:tc>
          <w:tcPr>
            <w:tcW w:w="1890" w:type="dxa"/>
            <w:shd w:val="clear" w:color="auto" w:fill="1F497D" w:themeFill="text2"/>
          </w:tcPr>
          <w:p w14:paraId="35FCFAFD" w14:textId="77777777" w:rsidR="00384419" w:rsidRDefault="009D79D6">
            <w:pPr>
              <w:widowControl/>
              <w:autoSpaceDE/>
              <w:autoSpaceDN/>
              <w:adjustRightInd/>
              <w:jc w:val="center"/>
              <w:rPr>
                <w:b/>
                <w:color w:val="FFFFFF" w:themeColor="background1"/>
              </w:rPr>
            </w:pPr>
            <w:r>
              <w:rPr>
                <w:b/>
                <w:color w:val="FFFFFF" w:themeColor="background1"/>
              </w:rPr>
              <w:t xml:space="preserve">FY 20XX-# or </w:t>
            </w:r>
          </w:p>
          <w:p w14:paraId="453588C9" w14:textId="77777777" w:rsidR="00384419" w:rsidRDefault="009D79D6">
            <w:pPr>
              <w:widowControl/>
              <w:autoSpaceDE/>
              <w:autoSpaceDN/>
              <w:adjustRightInd/>
              <w:jc w:val="center"/>
              <w:rPr>
                <w:b/>
                <w:color w:val="FFFFFF" w:themeColor="background1"/>
              </w:rPr>
            </w:pPr>
            <w:r>
              <w:rPr>
                <w:b/>
                <w:color w:val="FFFFFF" w:themeColor="background1"/>
              </w:rPr>
              <w:t>FY 20XX-OB-#</w:t>
            </w:r>
          </w:p>
        </w:tc>
      </w:tr>
      <w:tr w:rsidR="00384419" w14:paraId="76F3DA75" w14:textId="77777777">
        <w:tc>
          <w:tcPr>
            <w:tcW w:w="1440" w:type="dxa"/>
          </w:tcPr>
          <w:p w14:paraId="52FBF475" w14:textId="77777777" w:rsidR="00384419" w:rsidRDefault="00384419">
            <w:pPr>
              <w:widowControl/>
              <w:autoSpaceDE/>
              <w:autoSpaceDN/>
              <w:adjustRightInd/>
            </w:pPr>
          </w:p>
          <w:p w14:paraId="2D4A5F4A" w14:textId="77777777" w:rsidR="003D6402" w:rsidRDefault="003D6402">
            <w:pPr>
              <w:widowControl/>
              <w:autoSpaceDE/>
              <w:autoSpaceDN/>
              <w:adjustRightInd/>
            </w:pPr>
          </w:p>
          <w:p w14:paraId="58EE32C8" w14:textId="2930081F" w:rsidR="003D6402" w:rsidRDefault="003D6402">
            <w:pPr>
              <w:widowControl/>
              <w:autoSpaceDE/>
              <w:autoSpaceDN/>
              <w:adjustRightInd/>
            </w:pPr>
            <w:r>
              <w:t>NONE</w:t>
            </w:r>
          </w:p>
          <w:p w14:paraId="550AD4CB" w14:textId="77777777" w:rsidR="003D6402" w:rsidRDefault="003D6402">
            <w:pPr>
              <w:widowControl/>
              <w:autoSpaceDE/>
              <w:autoSpaceDN/>
              <w:adjustRightInd/>
            </w:pPr>
          </w:p>
          <w:p w14:paraId="3FE4F546" w14:textId="6D4E2A31" w:rsidR="003D6402" w:rsidRDefault="003D6402">
            <w:pPr>
              <w:widowControl/>
              <w:autoSpaceDE/>
              <w:autoSpaceDN/>
              <w:adjustRightInd/>
            </w:pPr>
          </w:p>
        </w:tc>
        <w:tc>
          <w:tcPr>
            <w:tcW w:w="4721" w:type="dxa"/>
          </w:tcPr>
          <w:p w14:paraId="4DA2459C" w14:textId="7147DF4B" w:rsidR="00384419" w:rsidRDefault="00384419">
            <w:pPr>
              <w:jc w:val="both"/>
            </w:pPr>
          </w:p>
        </w:tc>
        <w:tc>
          <w:tcPr>
            <w:tcW w:w="4819" w:type="dxa"/>
          </w:tcPr>
          <w:p w14:paraId="4C59E267" w14:textId="77777777" w:rsidR="00384419" w:rsidRDefault="00384419">
            <w:pPr>
              <w:widowControl/>
              <w:autoSpaceDE/>
              <w:autoSpaceDN/>
              <w:adjustRightInd/>
              <w:jc w:val="both"/>
            </w:pPr>
          </w:p>
          <w:p w14:paraId="655560F0" w14:textId="623A4A79" w:rsidR="008E16A1" w:rsidRDefault="008E16A1">
            <w:pPr>
              <w:widowControl/>
              <w:autoSpaceDE/>
              <w:autoSpaceDN/>
              <w:adjustRightInd/>
              <w:jc w:val="both"/>
            </w:pPr>
          </w:p>
        </w:tc>
        <w:tc>
          <w:tcPr>
            <w:tcW w:w="1890" w:type="dxa"/>
          </w:tcPr>
          <w:p w14:paraId="1774CD47" w14:textId="77777777" w:rsidR="00384419" w:rsidRDefault="009D79D6">
            <w:pPr>
              <w:widowControl/>
              <w:autoSpaceDE/>
              <w:autoSpaceDN/>
              <w:adjustRightInd/>
            </w:pPr>
            <w:r>
              <w:t xml:space="preserve"> </w:t>
            </w:r>
          </w:p>
        </w:tc>
      </w:tr>
    </w:tbl>
    <w:p w14:paraId="0410A727" w14:textId="77777777" w:rsidR="00384419" w:rsidRDefault="003844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rPr>
      </w:pPr>
    </w:p>
    <w:p w14:paraId="0DE94555" w14:textId="77777777" w:rsidR="00384419" w:rsidRDefault="00384419">
      <w:pPr>
        <w:widowControl/>
        <w:autoSpaceDE/>
        <w:autoSpaceDN/>
        <w:adjustRightInd/>
        <w:rPr>
          <w:i/>
        </w:rPr>
      </w:pPr>
    </w:p>
    <w:p w14:paraId="49159044" w14:textId="77777777" w:rsidR="00384419" w:rsidRDefault="00384419">
      <w:pPr>
        <w:widowControl/>
        <w:autoSpaceDE/>
        <w:autoSpaceDN/>
        <w:adjustRightInd/>
        <w:rPr>
          <w:i/>
        </w:rPr>
      </w:pPr>
    </w:p>
    <w:p w14:paraId="5B4C57FE" w14:textId="77777777" w:rsidR="00384419" w:rsidRDefault="00384419">
      <w:pPr>
        <w:widowControl/>
        <w:autoSpaceDE/>
        <w:autoSpaceDN/>
        <w:adjustRightInd/>
        <w:rPr>
          <w:i/>
        </w:rPr>
      </w:pPr>
    </w:p>
    <w:p w14:paraId="1AD89C91" w14:textId="77777777" w:rsidR="00384419" w:rsidRDefault="00384419">
      <w:pPr>
        <w:widowControl/>
        <w:autoSpaceDE/>
        <w:autoSpaceDN/>
        <w:adjustRightInd/>
        <w:rPr>
          <w:i/>
        </w:rPr>
      </w:pPr>
    </w:p>
    <w:p w14:paraId="02FB32BB" w14:textId="77777777" w:rsidR="00384419" w:rsidRDefault="00384419">
      <w:pPr>
        <w:widowControl/>
        <w:autoSpaceDE/>
        <w:autoSpaceDN/>
        <w:adjustRightInd/>
        <w:rPr>
          <w:i/>
        </w:rPr>
      </w:pPr>
    </w:p>
    <w:p w14:paraId="79D5F16B" w14:textId="77777777" w:rsidR="00384419" w:rsidRDefault="00384419">
      <w:pPr>
        <w:widowControl/>
        <w:autoSpaceDE/>
        <w:autoSpaceDN/>
        <w:adjustRightInd/>
        <w:rPr>
          <w:i/>
        </w:rPr>
      </w:pPr>
    </w:p>
    <w:p w14:paraId="1F9B8CA3" w14:textId="77777777" w:rsidR="00384419" w:rsidRDefault="00384419">
      <w:pPr>
        <w:widowControl/>
        <w:autoSpaceDE/>
        <w:autoSpaceDN/>
        <w:adjustRightInd/>
        <w:rPr>
          <w:i/>
        </w:rPr>
      </w:pPr>
    </w:p>
    <w:p w14:paraId="2D6F0FE0" w14:textId="77777777" w:rsidR="00384419" w:rsidRDefault="00384419">
      <w:pPr>
        <w:widowControl/>
        <w:autoSpaceDE/>
        <w:autoSpaceDN/>
        <w:adjustRightInd/>
        <w:rPr>
          <w:i/>
        </w:rPr>
      </w:pPr>
    </w:p>
    <w:p w14:paraId="18C0C2DE" w14:textId="77777777" w:rsidR="00384419" w:rsidRDefault="00384419">
      <w:pPr>
        <w:widowControl/>
        <w:autoSpaceDE/>
        <w:autoSpaceDN/>
        <w:adjustRightInd/>
        <w:rPr>
          <w:i/>
        </w:rPr>
      </w:pPr>
    </w:p>
    <w:p w14:paraId="360084DB" w14:textId="77777777" w:rsidR="00384419" w:rsidRDefault="00384419">
      <w:pPr>
        <w:widowControl/>
        <w:autoSpaceDE/>
        <w:autoSpaceDN/>
        <w:adjustRightInd/>
        <w:rPr>
          <w:i/>
        </w:rPr>
      </w:pPr>
    </w:p>
    <w:p w14:paraId="4CF5A6F7" w14:textId="77777777" w:rsidR="00384419" w:rsidRDefault="00384419">
      <w:pPr>
        <w:widowControl/>
        <w:autoSpaceDE/>
        <w:autoSpaceDN/>
        <w:adjustRightInd/>
        <w:rPr>
          <w:i/>
        </w:rPr>
      </w:pPr>
    </w:p>
    <w:p w14:paraId="071330AB" w14:textId="77777777" w:rsidR="00384419" w:rsidRDefault="003844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063EC8EC" w14:textId="77777777" w:rsidR="00384419" w:rsidRDefault="003844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31AEAD13" w14:textId="77777777" w:rsidR="00384419" w:rsidRDefault="003844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1532733E" w14:textId="77777777" w:rsidR="00384419" w:rsidRDefault="003844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4B7BD3FC" w14:textId="77777777" w:rsidR="00384419" w:rsidRDefault="003844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688048CE" w14:textId="77777777" w:rsidR="00384419" w:rsidRDefault="003844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1C75F402" w14:textId="77777777" w:rsidR="00384419" w:rsidRDefault="003844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sz w:val="16"/>
          <w:szCs w:val="16"/>
        </w:rPr>
      </w:pPr>
    </w:p>
    <w:p w14:paraId="741EBD27" w14:textId="77777777" w:rsidR="00384419" w:rsidRDefault="003844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sz w:val="16"/>
          <w:szCs w:val="16"/>
        </w:rPr>
      </w:pPr>
    </w:p>
    <w:p w14:paraId="5A4B657F" w14:textId="77777777" w:rsidR="00384419" w:rsidRDefault="003844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rPr>
        <w:sectPr w:rsidR="00384419" w:rsidSect="001A35DD">
          <w:headerReference w:type="default" r:id="rId27"/>
          <w:footerReference w:type="default" r:id="rId28"/>
          <w:headerReference w:type="first" r:id="rId29"/>
          <w:footerReference w:type="first" r:id="rId30"/>
          <w:pgSz w:w="15840" w:h="12240" w:orient="landscape"/>
          <w:pgMar w:top="1440" w:right="1440" w:bottom="1440" w:left="1440" w:header="720" w:footer="720" w:gutter="0"/>
          <w:cols w:space="720"/>
          <w:titlePg/>
          <w:rtlGutter/>
          <w:docGrid w:linePitch="360"/>
        </w:sectPr>
      </w:pPr>
    </w:p>
    <w:p w14:paraId="19819B5F" w14:textId="77777777" w:rsidR="00384419" w:rsidRDefault="00384419">
      <w:pPr>
        <w:widowControl/>
        <w:autoSpaceDE/>
        <w:autoSpaceDN/>
        <w:adjustRightInd/>
        <w:rPr>
          <w:i/>
          <w:sz w:val="22"/>
          <w:szCs w:val="22"/>
        </w:rPr>
      </w:pPr>
    </w:p>
    <w:p w14:paraId="1C324403" w14:textId="77777777" w:rsidR="00384419" w:rsidRDefault="00384419">
      <w:pPr>
        <w:widowControl/>
        <w:autoSpaceDE/>
        <w:autoSpaceDN/>
        <w:adjustRightInd/>
        <w:rPr>
          <w:i/>
          <w:sz w:val="22"/>
          <w:szCs w:val="22"/>
        </w:rPr>
      </w:pPr>
    </w:p>
    <w:tbl>
      <w:tblPr>
        <w:tblStyle w:val="TableGrid"/>
        <w:tblpPr w:leftFromText="180" w:rightFromText="180" w:vertAnchor="text" w:horzAnchor="margin" w:tblpXSpec="center" w:tblpY="77"/>
        <w:tblW w:w="13968" w:type="dxa"/>
        <w:tblLook w:val="01E0" w:firstRow="1" w:lastRow="1" w:firstColumn="1" w:lastColumn="1" w:noHBand="0" w:noVBand="0"/>
        <w:tblCaption w:val="Observations Subject to New and Continued Findings"/>
        <w:tblDescription w:val="Appendix B"/>
      </w:tblPr>
      <w:tblGrid>
        <w:gridCol w:w="1815"/>
        <w:gridCol w:w="1603"/>
        <w:gridCol w:w="4905"/>
        <w:gridCol w:w="4559"/>
        <w:gridCol w:w="1086"/>
      </w:tblGrid>
      <w:tr w:rsidR="00384419" w14:paraId="780EFDFD" w14:textId="77777777">
        <w:trPr>
          <w:trHeight w:val="411"/>
          <w:tblHeader/>
        </w:trPr>
        <w:tc>
          <w:tcPr>
            <w:tcW w:w="1815" w:type="dxa"/>
            <w:shd w:val="clear" w:color="auto" w:fill="1F497D" w:themeFill="text2"/>
          </w:tcPr>
          <w:p w14:paraId="4F67D8EB" w14:textId="77777777" w:rsidR="00384419" w:rsidRDefault="009D79D6">
            <w:pPr>
              <w:widowControl/>
              <w:autoSpaceDE/>
              <w:autoSpaceDN/>
              <w:adjustRightInd/>
              <w:jc w:val="center"/>
              <w:rPr>
                <w:b/>
                <w:color w:val="FFFFFF" w:themeColor="background1"/>
              </w:rPr>
            </w:pPr>
            <w:r>
              <w:rPr>
                <w:b/>
                <w:color w:val="FFFFFF" w:themeColor="background1"/>
              </w:rPr>
              <w:lastRenderedPageBreak/>
              <w:t>Observation #</w:t>
            </w:r>
          </w:p>
          <w:p w14:paraId="5DF98131" w14:textId="6D91A7A5" w:rsidR="00384419" w:rsidRDefault="00C510E1">
            <w:pPr>
              <w:widowControl/>
              <w:autoSpaceDE/>
              <w:autoSpaceDN/>
              <w:adjustRightInd/>
              <w:jc w:val="center"/>
              <w:rPr>
                <w:b/>
                <w:color w:val="FFFFFF" w:themeColor="background1"/>
              </w:rPr>
            </w:pPr>
            <w:r>
              <w:rPr>
                <w:b/>
                <w:color w:val="FFFFFF" w:themeColor="background1"/>
              </w:rPr>
              <w:t>FY 2023</w:t>
            </w:r>
            <w:r w:rsidR="009D79D6">
              <w:rPr>
                <w:b/>
                <w:color w:val="FFFFFF" w:themeColor="background1"/>
              </w:rPr>
              <w:t>-OB-#</w:t>
            </w:r>
          </w:p>
        </w:tc>
        <w:tc>
          <w:tcPr>
            <w:tcW w:w="1603" w:type="dxa"/>
            <w:shd w:val="clear" w:color="auto" w:fill="1F497D" w:themeFill="text2"/>
          </w:tcPr>
          <w:p w14:paraId="47DE1C20" w14:textId="77777777" w:rsidR="00384419" w:rsidRDefault="009D79D6">
            <w:pPr>
              <w:widowControl/>
              <w:autoSpaceDE/>
              <w:autoSpaceDN/>
              <w:adjustRightInd/>
              <w:jc w:val="center"/>
              <w:rPr>
                <w:b/>
                <w:color w:val="FFFFFF" w:themeColor="background1"/>
              </w:rPr>
            </w:pPr>
            <w:r>
              <w:rPr>
                <w:b/>
                <w:color w:val="FFFFFF" w:themeColor="background1"/>
              </w:rPr>
              <w:t>Observation#</w:t>
            </w:r>
          </w:p>
          <w:p w14:paraId="2EE9E3F9" w14:textId="77777777" w:rsidR="00384419" w:rsidRDefault="009D79D6">
            <w:pPr>
              <w:widowControl/>
              <w:autoSpaceDE/>
              <w:autoSpaceDN/>
              <w:adjustRightInd/>
              <w:jc w:val="center"/>
              <w:rPr>
                <w:b/>
                <w:color w:val="FFFFFF" w:themeColor="background1"/>
              </w:rPr>
            </w:pPr>
            <w:r>
              <w:rPr>
                <w:b/>
                <w:color w:val="FFFFFF" w:themeColor="background1"/>
              </w:rPr>
              <w:t xml:space="preserve">FY 20XX-OB-# </w:t>
            </w:r>
            <w:r>
              <w:rPr>
                <w:b/>
                <w:i/>
                <w:color w:val="FFFFFF" w:themeColor="background1"/>
              </w:rPr>
              <w:t>or</w:t>
            </w:r>
            <w:r>
              <w:rPr>
                <w:b/>
                <w:color w:val="FFFFFF" w:themeColor="background1"/>
              </w:rPr>
              <w:t xml:space="preserve"> FY 20XX-#</w:t>
            </w:r>
          </w:p>
        </w:tc>
        <w:tc>
          <w:tcPr>
            <w:tcW w:w="4905" w:type="dxa"/>
            <w:shd w:val="clear" w:color="auto" w:fill="1F497D" w:themeFill="text2"/>
          </w:tcPr>
          <w:p w14:paraId="5DDB93F5" w14:textId="77777777" w:rsidR="00384419" w:rsidRDefault="009D79D6">
            <w:pPr>
              <w:widowControl/>
              <w:autoSpaceDE/>
              <w:autoSpaceDN/>
              <w:adjustRightInd/>
              <w:jc w:val="center"/>
              <w:rPr>
                <w:b/>
                <w:color w:val="FFFFFF" w:themeColor="background1"/>
              </w:rPr>
            </w:pPr>
            <w:r>
              <w:rPr>
                <w:b/>
                <w:color w:val="FFFFFF" w:themeColor="background1"/>
              </w:rPr>
              <w:t>Observation</w:t>
            </w:r>
          </w:p>
        </w:tc>
        <w:tc>
          <w:tcPr>
            <w:tcW w:w="4559" w:type="dxa"/>
            <w:shd w:val="clear" w:color="auto" w:fill="1F497D" w:themeFill="text2"/>
          </w:tcPr>
          <w:p w14:paraId="4BC8094D" w14:textId="77777777" w:rsidR="00384419" w:rsidRDefault="009D79D6">
            <w:pPr>
              <w:widowControl/>
              <w:autoSpaceDE/>
              <w:autoSpaceDN/>
              <w:adjustRightInd/>
              <w:jc w:val="center"/>
              <w:rPr>
                <w:b/>
                <w:color w:val="FFFFFF" w:themeColor="background1"/>
              </w:rPr>
            </w:pPr>
            <w:r>
              <w:rPr>
                <w:b/>
                <w:color w:val="FFFFFF" w:themeColor="background1"/>
              </w:rPr>
              <w:t>Federal Monitoring Plan</w:t>
            </w:r>
          </w:p>
        </w:tc>
        <w:tc>
          <w:tcPr>
            <w:tcW w:w="1086" w:type="dxa"/>
            <w:shd w:val="clear" w:color="auto" w:fill="1F497D" w:themeFill="text2"/>
          </w:tcPr>
          <w:p w14:paraId="5419AD02" w14:textId="77777777" w:rsidR="00384419" w:rsidRDefault="009D79D6">
            <w:pPr>
              <w:widowControl/>
              <w:autoSpaceDE/>
              <w:autoSpaceDN/>
              <w:adjustRightInd/>
              <w:jc w:val="center"/>
              <w:rPr>
                <w:b/>
                <w:color w:val="FFFFFF" w:themeColor="background1"/>
              </w:rPr>
            </w:pPr>
            <w:r>
              <w:rPr>
                <w:b/>
                <w:color w:val="FFFFFF" w:themeColor="background1"/>
              </w:rPr>
              <w:t>Current Status</w:t>
            </w:r>
          </w:p>
        </w:tc>
      </w:tr>
      <w:tr w:rsidR="00384419" w14:paraId="7C46CE30" w14:textId="77777777">
        <w:trPr>
          <w:trHeight w:val="397"/>
        </w:trPr>
        <w:tc>
          <w:tcPr>
            <w:tcW w:w="1815" w:type="dxa"/>
          </w:tcPr>
          <w:p w14:paraId="7232D210" w14:textId="77777777" w:rsidR="00384419" w:rsidRDefault="009D79D6">
            <w:pPr>
              <w:widowControl/>
              <w:autoSpaceDE/>
              <w:autoSpaceDN/>
              <w:adjustRightInd/>
              <w:jc w:val="both"/>
              <w:rPr>
                <w:iCs/>
              </w:rPr>
            </w:pPr>
            <w:bookmarkStart w:id="13" w:name="_Hlk96445535"/>
            <w:r>
              <w:rPr>
                <w:iCs/>
              </w:rPr>
              <w:t>NONE</w:t>
            </w:r>
          </w:p>
          <w:p w14:paraId="22B19318" w14:textId="77777777" w:rsidR="00384419" w:rsidRDefault="00384419">
            <w:pPr>
              <w:widowControl/>
              <w:autoSpaceDE/>
              <w:autoSpaceDN/>
              <w:adjustRightInd/>
              <w:jc w:val="both"/>
              <w:rPr>
                <w:iCs/>
              </w:rPr>
            </w:pPr>
          </w:p>
        </w:tc>
        <w:tc>
          <w:tcPr>
            <w:tcW w:w="1603" w:type="dxa"/>
          </w:tcPr>
          <w:p w14:paraId="1164CD1F" w14:textId="77777777" w:rsidR="00384419" w:rsidRDefault="00384419">
            <w:pPr>
              <w:widowControl/>
              <w:autoSpaceDE/>
              <w:autoSpaceDN/>
              <w:adjustRightInd/>
              <w:jc w:val="both"/>
              <w:rPr>
                <w:iCs/>
              </w:rPr>
            </w:pPr>
          </w:p>
        </w:tc>
        <w:tc>
          <w:tcPr>
            <w:tcW w:w="4905" w:type="dxa"/>
          </w:tcPr>
          <w:p w14:paraId="631DEA16" w14:textId="77777777" w:rsidR="00384419" w:rsidRDefault="00384419">
            <w:pPr>
              <w:jc w:val="both"/>
            </w:pPr>
          </w:p>
        </w:tc>
        <w:tc>
          <w:tcPr>
            <w:tcW w:w="4559" w:type="dxa"/>
          </w:tcPr>
          <w:p w14:paraId="0DAA474E" w14:textId="77777777" w:rsidR="00384419" w:rsidRDefault="00384419">
            <w:pPr>
              <w:widowControl/>
              <w:autoSpaceDE/>
              <w:autoSpaceDN/>
              <w:adjustRightInd/>
              <w:jc w:val="both"/>
              <w:rPr>
                <w:iCs/>
              </w:rPr>
            </w:pPr>
          </w:p>
        </w:tc>
        <w:tc>
          <w:tcPr>
            <w:tcW w:w="1086" w:type="dxa"/>
          </w:tcPr>
          <w:p w14:paraId="587E31BC" w14:textId="77777777" w:rsidR="00384419" w:rsidRDefault="00384419">
            <w:pPr>
              <w:widowControl/>
              <w:autoSpaceDE/>
              <w:autoSpaceDN/>
              <w:adjustRightInd/>
              <w:jc w:val="center"/>
              <w:rPr>
                <w:iCs/>
              </w:rPr>
            </w:pPr>
          </w:p>
        </w:tc>
      </w:tr>
      <w:bookmarkEnd w:id="13"/>
    </w:tbl>
    <w:p w14:paraId="4360FFEC" w14:textId="77777777" w:rsidR="00384419" w:rsidRDefault="00384419">
      <w:pPr>
        <w:widowControl/>
        <w:autoSpaceDE/>
        <w:autoSpaceDN/>
        <w:adjustRightInd/>
        <w:rPr>
          <w:i/>
          <w:sz w:val="22"/>
          <w:szCs w:val="22"/>
        </w:rPr>
      </w:pPr>
    </w:p>
    <w:p w14:paraId="7B46DD91" w14:textId="77777777" w:rsidR="00384419" w:rsidRDefault="00384419">
      <w:pPr>
        <w:widowControl/>
        <w:autoSpaceDE/>
        <w:autoSpaceDN/>
        <w:adjustRightInd/>
        <w:rPr>
          <w:i/>
          <w:sz w:val="22"/>
          <w:szCs w:val="22"/>
        </w:rPr>
        <w:sectPr w:rsidR="00384419" w:rsidSect="001A35DD">
          <w:headerReference w:type="first" r:id="rId31"/>
          <w:footerReference w:type="first" r:id="rId32"/>
          <w:type w:val="continuous"/>
          <w:pgSz w:w="15840" w:h="12240" w:orient="landscape"/>
          <w:pgMar w:top="1440" w:right="1440" w:bottom="1440" w:left="1440" w:header="720" w:footer="720" w:gutter="0"/>
          <w:cols w:space="720"/>
          <w:titlePg/>
          <w:rtlGutter/>
          <w:docGrid w:linePitch="360"/>
        </w:sectPr>
      </w:pPr>
    </w:p>
    <w:p w14:paraId="68AF05E6" w14:textId="77777777" w:rsidR="00384419" w:rsidRDefault="003844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i/>
          <w:sz w:val="22"/>
          <w:szCs w:val="22"/>
        </w:rPr>
      </w:pPr>
      <w:bookmarkStart w:id="14" w:name="_Appendix_C_-"/>
      <w:bookmarkEnd w:id="14"/>
    </w:p>
    <w:tbl>
      <w:tblPr>
        <w:tblStyle w:val="TableGrid"/>
        <w:tblpPr w:leftFromText="180" w:rightFromText="180" w:vertAnchor="page" w:horzAnchor="margin" w:tblpXSpec="center" w:tblpY="1911"/>
        <w:tblW w:w="14058" w:type="dxa"/>
        <w:tblLayout w:type="fixed"/>
        <w:tblLook w:val="00A0" w:firstRow="1" w:lastRow="0" w:firstColumn="1" w:lastColumn="0" w:noHBand="0" w:noVBand="0"/>
        <w:tblCaption w:val="Status of FY 20XX Findings and Recommendations"/>
        <w:tblDescription w:val="Appendix C"/>
      </w:tblPr>
      <w:tblGrid>
        <w:gridCol w:w="1350"/>
        <w:gridCol w:w="2250"/>
        <w:gridCol w:w="2250"/>
        <w:gridCol w:w="3960"/>
        <w:gridCol w:w="1548"/>
        <w:gridCol w:w="2700"/>
      </w:tblGrid>
      <w:tr w:rsidR="00384419" w14:paraId="5B370DD7" w14:textId="77777777">
        <w:trPr>
          <w:trHeight w:val="412"/>
          <w:tblHeader/>
        </w:trPr>
        <w:tc>
          <w:tcPr>
            <w:tcW w:w="1350" w:type="dxa"/>
            <w:shd w:val="clear" w:color="auto" w:fill="1F497D" w:themeFill="text2"/>
          </w:tcPr>
          <w:p w14:paraId="1D823D12" w14:textId="77777777" w:rsidR="00384419" w:rsidRDefault="009D79D6">
            <w:pPr>
              <w:jc w:val="center"/>
              <w:rPr>
                <w:b/>
                <w:color w:val="FFFFFF" w:themeColor="background1"/>
                <w:sz w:val="22"/>
                <w:szCs w:val="22"/>
              </w:rPr>
            </w:pPr>
            <w:r>
              <w:rPr>
                <w:b/>
                <w:color w:val="FFFFFF" w:themeColor="background1"/>
                <w:sz w:val="22"/>
                <w:szCs w:val="22"/>
              </w:rPr>
              <w:t>FY 20XX-#</w:t>
            </w:r>
          </w:p>
        </w:tc>
        <w:tc>
          <w:tcPr>
            <w:tcW w:w="2250" w:type="dxa"/>
            <w:shd w:val="clear" w:color="auto" w:fill="1F497D" w:themeFill="text2"/>
          </w:tcPr>
          <w:p w14:paraId="286DA053" w14:textId="77777777" w:rsidR="00384419" w:rsidRDefault="009D79D6">
            <w:pPr>
              <w:jc w:val="center"/>
              <w:rPr>
                <w:b/>
                <w:color w:val="FFFFFF" w:themeColor="background1"/>
                <w:sz w:val="22"/>
                <w:szCs w:val="22"/>
              </w:rPr>
            </w:pPr>
            <w:r>
              <w:rPr>
                <w:b/>
                <w:color w:val="FFFFFF" w:themeColor="background1"/>
                <w:sz w:val="22"/>
                <w:szCs w:val="22"/>
              </w:rPr>
              <w:t>Finding</w:t>
            </w:r>
          </w:p>
        </w:tc>
        <w:tc>
          <w:tcPr>
            <w:tcW w:w="2250" w:type="dxa"/>
            <w:shd w:val="clear" w:color="auto" w:fill="1F497D" w:themeFill="text2"/>
          </w:tcPr>
          <w:p w14:paraId="10AC6041" w14:textId="77777777" w:rsidR="00384419" w:rsidRDefault="009D79D6">
            <w:pPr>
              <w:jc w:val="center"/>
              <w:rPr>
                <w:b/>
                <w:color w:val="FFFFFF" w:themeColor="background1"/>
                <w:sz w:val="22"/>
                <w:szCs w:val="22"/>
              </w:rPr>
            </w:pPr>
            <w:r>
              <w:rPr>
                <w:b/>
                <w:color w:val="FFFFFF" w:themeColor="background1"/>
                <w:sz w:val="22"/>
                <w:szCs w:val="22"/>
              </w:rPr>
              <w:t>Recommendation</w:t>
            </w:r>
          </w:p>
        </w:tc>
        <w:tc>
          <w:tcPr>
            <w:tcW w:w="3960" w:type="dxa"/>
            <w:shd w:val="clear" w:color="auto" w:fill="1F497D" w:themeFill="text2"/>
          </w:tcPr>
          <w:p w14:paraId="3FF557C2" w14:textId="77777777" w:rsidR="00384419" w:rsidRDefault="009D79D6">
            <w:pPr>
              <w:jc w:val="center"/>
              <w:rPr>
                <w:b/>
                <w:color w:val="FFFFFF" w:themeColor="background1"/>
                <w:sz w:val="22"/>
                <w:szCs w:val="22"/>
              </w:rPr>
            </w:pPr>
            <w:r>
              <w:rPr>
                <w:b/>
                <w:color w:val="FFFFFF" w:themeColor="background1"/>
                <w:sz w:val="22"/>
                <w:szCs w:val="22"/>
              </w:rPr>
              <w:t>State Plan Corrective Action</w:t>
            </w:r>
          </w:p>
        </w:tc>
        <w:tc>
          <w:tcPr>
            <w:tcW w:w="1548" w:type="dxa"/>
            <w:shd w:val="clear" w:color="auto" w:fill="1F497D" w:themeFill="text2"/>
          </w:tcPr>
          <w:p w14:paraId="42348584" w14:textId="77777777" w:rsidR="00384419" w:rsidRDefault="009D79D6">
            <w:pPr>
              <w:jc w:val="center"/>
              <w:rPr>
                <w:b/>
                <w:color w:val="FFFFFF" w:themeColor="background1"/>
                <w:sz w:val="22"/>
                <w:szCs w:val="22"/>
              </w:rPr>
            </w:pPr>
            <w:r>
              <w:rPr>
                <w:b/>
                <w:color w:val="FFFFFF" w:themeColor="background1"/>
                <w:sz w:val="22"/>
                <w:szCs w:val="22"/>
              </w:rPr>
              <w:t>Completion Date (if Applicable)</w:t>
            </w:r>
          </w:p>
        </w:tc>
        <w:tc>
          <w:tcPr>
            <w:tcW w:w="2700" w:type="dxa"/>
            <w:shd w:val="clear" w:color="auto" w:fill="1F497D" w:themeFill="text2"/>
          </w:tcPr>
          <w:p w14:paraId="73F30333" w14:textId="77777777" w:rsidR="00384419" w:rsidRDefault="009D79D6">
            <w:pPr>
              <w:jc w:val="center"/>
              <w:rPr>
                <w:b/>
                <w:color w:val="FFFFFF" w:themeColor="background1"/>
                <w:sz w:val="22"/>
                <w:szCs w:val="22"/>
              </w:rPr>
            </w:pPr>
            <w:r>
              <w:rPr>
                <w:b/>
                <w:color w:val="FFFFFF" w:themeColor="background1"/>
                <w:sz w:val="22"/>
                <w:szCs w:val="22"/>
              </w:rPr>
              <w:t xml:space="preserve">Current Status </w:t>
            </w:r>
          </w:p>
          <w:p w14:paraId="4CCEAB18" w14:textId="77777777" w:rsidR="00384419" w:rsidRDefault="009D79D6">
            <w:pPr>
              <w:jc w:val="center"/>
              <w:rPr>
                <w:b/>
                <w:color w:val="FFFFFF" w:themeColor="background1"/>
                <w:sz w:val="22"/>
                <w:szCs w:val="22"/>
              </w:rPr>
            </w:pPr>
            <w:r>
              <w:rPr>
                <w:b/>
                <w:color w:val="FFFFFF" w:themeColor="background1"/>
                <w:sz w:val="22"/>
                <w:szCs w:val="22"/>
              </w:rPr>
              <w:t xml:space="preserve">(and Date if Item is </w:t>
            </w:r>
          </w:p>
          <w:p w14:paraId="2F86A364" w14:textId="77777777" w:rsidR="00384419" w:rsidRDefault="009D79D6">
            <w:pPr>
              <w:jc w:val="center"/>
              <w:rPr>
                <w:b/>
                <w:color w:val="FFFFFF" w:themeColor="background1"/>
                <w:sz w:val="22"/>
                <w:szCs w:val="22"/>
              </w:rPr>
            </w:pPr>
            <w:r>
              <w:rPr>
                <w:b/>
                <w:color w:val="FFFFFF" w:themeColor="background1"/>
                <w:sz w:val="22"/>
                <w:szCs w:val="22"/>
              </w:rPr>
              <w:t>Not Completed)</w:t>
            </w:r>
          </w:p>
        </w:tc>
      </w:tr>
      <w:tr w:rsidR="00384419" w14:paraId="6E919B3D" w14:textId="77777777">
        <w:trPr>
          <w:trHeight w:val="412"/>
        </w:trPr>
        <w:tc>
          <w:tcPr>
            <w:tcW w:w="1350" w:type="dxa"/>
          </w:tcPr>
          <w:p w14:paraId="6A1ADB20" w14:textId="77777777" w:rsidR="00384419" w:rsidRDefault="009D79D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bCs/>
                <w:sz w:val="22"/>
                <w:szCs w:val="22"/>
              </w:rPr>
            </w:pPr>
            <w:r>
              <w:rPr>
                <w:rFonts w:eastAsia="PMingLiU"/>
                <w:b/>
                <w:bCs/>
                <w:sz w:val="22"/>
                <w:szCs w:val="22"/>
              </w:rPr>
              <w:t> </w:t>
            </w:r>
          </w:p>
        </w:tc>
        <w:tc>
          <w:tcPr>
            <w:tcW w:w="2250" w:type="dxa"/>
          </w:tcPr>
          <w:p w14:paraId="23555BA7" w14:textId="77777777" w:rsidR="00384419" w:rsidRDefault="009D79D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sz w:val="22"/>
                <w:szCs w:val="22"/>
              </w:rPr>
            </w:pPr>
            <w:r>
              <w:rPr>
                <w:rFonts w:eastAsia="PMingLiU"/>
                <w:b/>
                <w:sz w:val="22"/>
                <w:szCs w:val="22"/>
              </w:rPr>
              <w:t>NONE </w:t>
            </w:r>
          </w:p>
        </w:tc>
        <w:tc>
          <w:tcPr>
            <w:tcW w:w="2250" w:type="dxa"/>
          </w:tcPr>
          <w:p w14:paraId="1CA9E744" w14:textId="77777777" w:rsidR="00384419" w:rsidRDefault="009D79D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sz w:val="22"/>
                <w:szCs w:val="22"/>
              </w:rPr>
            </w:pPr>
            <w:r>
              <w:rPr>
                <w:rFonts w:eastAsia="PMingLiU"/>
                <w:b/>
                <w:sz w:val="22"/>
                <w:szCs w:val="22"/>
              </w:rPr>
              <w:t> </w:t>
            </w:r>
          </w:p>
        </w:tc>
        <w:tc>
          <w:tcPr>
            <w:tcW w:w="3960" w:type="dxa"/>
          </w:tcPr>
          <w:p w14:paraId="3D19EE20" w14:textId="77777777" w:rsidR="00384419" w:rsidRDefault="009D79D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sz w:val="22"/>
                <w:szCs w:val="22"/>
              </w:rPr>
            </w:pPr>
            <w:r>
              <w:rPr>
                <w:rFonts w:eastAsia="PMingLiU"/>
                <w:b/>
                <w:sz w:val="22"/>
                <w:szCs w:val="22"/>
              </w:rPr>
              <w:t> </w:t>
            </w:r>
          </w:p>
        </w:tc>
        <w:tc>
          <w:tcPr>
            <w:tcW w:w="1548" w:type="dxa"/>
          </w:tcPr>
          <w:p w14:paraId="26D113F9" w14:textId="77777777" w:rsidR="00384419" w:rsidRDefault="009D79D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sz w:val="22"/>
                <w:szCs w:val="22"/>
              </w:rPr>
            </w:pPr>
            <w:r>
              <w:rPr>
                <w:rFonts w:eastAsia="PMingLiU"/>
                <w:b/>
                <w:sz w:val="22"/>
                <w:szCs w:val="22"/>
              </w:rPr>
              <w:t> </w:t>
            </w:r>
          </w:p>
        </w:tc>
        <w:tc>
          <w:tcPr>
            <w:tcW w:w="2700" w:type="dxa"/>
          </w:tcPr>
          <w:p w14:paraId="3DF802D6" w14:textId="77777777" w:rsidR="00384419" w:rsidRDefault="009D79D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sz w:val="22"/>
                <w:szCs w:val="22"/>
              </w:rPr>
            </w:pPr>
            <w:r>
              <w:rPr>
                <w:rFonts w:eastAsia="PMingLiU"/>
                <w:b/>
                <w:sz w:val="22"/>
                <w:szCs w:val="22"/>
              </w:rPr>
              <w:t> </w:t>
            </w:r>
          </w:p>
        </w:tc>
      </w:tr>
      <w:tr w:rsidR="00384419" w14:paraId="7D4EF021" w14:textId="77777777">
        <w:trPr>
          <w:trHeight w:val="385"/>
        </w:trPr>
        <w:tc>
          <w:tcPr>
            <w:tcW w:w="1350" w:type="dxa"/>
          </w:tcPr>
          <w:p w14:paraId="62FD68A5" w14:textId="77777777" w:rsidR="00384419" w:rsidRDefault="009D79D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bCs/>
                <w:sz w:val="22"/>
                <w:szCs w:val="22"/>
              </w:rPr>
            </w:pPr>
            <w:r>
              <w:rPr>
                <w:rFonts w:eastAsia="PMingLiU"/>
                <w:b/>
                <w:bCs/>
                <w:sz w:val="22"/>
                <w:szCs w:val="22"/>
              </w:rPr>
              <w:t> </w:t>
            </w:r>
          </w:p>
        </w:tc>
        <w:tc>
          <w:tcPr>
            <w:tcW w:w="2250" w:type="dxa"/>
          </w:tcPr>
          <w:p w14:paraId="2EA47AF4" w14:textId="77777777" w:rsidR="00384419" w:rsidRDefault="009D79D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sz w:val="22"/>
                <w:szCs w:val="22"/>
              </w:rPr>
            </w:pPr>
            <w:r>
              <w:rPr>
                <w:rFonts w:eastAsia="PMingLiU"/>
                <w:b/>
                <w:sz w:val="22"/>
                <w:szCs w:val="22"/>
              </w:rPr>
              <w:t> </w:t>
            </w:r>
          </w:p>
        </w:tc>
        <w:tc>
          <w:tcPr>
            <w:tcW w:w="2250" w:type="dxa"/>
          </w:tcPr>
          <w:p w14:paraId="770DA387" w14:textId="77777777" w:rsidR="00384419" w:rsidRDefault="009D79D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sz w:val="22"/>
                <w:szCs w:val="22"/>
              </w:rPr>
            </w:pPr>
            <w:r>
              <w:rPr>
                <w:rFonts w:eastAsia="PMingLiU"/>
                <w:b/>
                <w:sz w:val="22"/>
                <w:szCs w:val="22"/>
              </w:rPr>
              <w:t> </w:t>
            </w:r>
          </w:p>
        </w:tc>
        <w:tc>
          <w:tcPr>
            <w:tcW w:w="3960" w:type="dxa"/>
          </w:tcPr>
          <w:p w14:paraId="6147576B" w14:textId="77777777" w:rsidR="00384419" w:rsidRDefault="009D79D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sz w:val="22"/>
                <w:szCs w:val="22"/>
              </w:rPr>
            </w:pPr>
            <w:r>
              <w:rPr>
                <w:rFonts w:eastAsia="PMingLiU"/>
                <w:b/>
                <w:sz w:val="22"/>
                <w:szCs w:val="22"/>
              </w:rPr>
              <w:t> </w:t>
            </w:r>
          </w:p>
        </w:tc>
        <w:tc>
          <w:tcPr>
            <w:tcW w:w="1548" w:type="dxa"/>
          </w:tcPr>
          <w:p w14:paraId="08F19AF0" w14:textId="77777777" w:rsidR="00384419" w:rsidRDefault="009D79D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sz w:val="22"/>
                <w:szCs w:val="22"/>
              </w:rPr>
            </w:pPr>
            <w:r>
              <w:rPr>
                <w:rFonts w:eastAsia="PMingLiU"/>
                <w:b/>
                <w:sz w:val="22"/>
                <w:szCs w:val="22"/>
              </w:rPr>
              <w:t> </w:t>
            </w:r>
          </w:p>
        </w:tc>
        <w:tc>
          <w:tcPr>
            <w:tcW w:w="2700" w:type="dxa"/>
          </w:tcPr>
          <w:p w14:paraId="37D18E5A" w14:textId="77777777" w:rsidR="00384419" w:rsidRDefault="009D79D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sz w:val="22"/>
                <w:szCs w:val="22"/>
              </w:rPr>
            </w:pPr>
            <w:r>
              <w:rPr>
                <w:rFonts w:eastAsia="PMingLiU"/>
                <w:b/>
                <w:sz w:val="22"/>
                <w:szCs w:val="22"/>
              </w:rPr>
              <w:t> </w:t>
            </w:r>
          </w:p>
        </w:tc>
      </w:tr>
    </w:tbl>
    <w:p w14:paraId="585F0F3C" w14:textId="77777777" w:rsidR="00384419" w:rsidRDefault="003844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i/>
          <w:sz w:val="22"/>
          <w:szCs w:val="22"/>
        </w:rPr>
      </w:pPr>
    </w:p>
    <w:p w14:paraId="51D84457" w14:textId="77777777" w:rsidR="00384419" w:rsidRDefault="003844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i/>
          <w:sz w:val="22"/>
          <w:szCs w:val="22"/>
        </w:rPr>
        <w:sectPr w:rsidR="00384419" w:rsidSect="001A35DD">
          <w:headerReference w:type="default" r:id="rId33"/>
          <w:footerReference w:type="default" r:id="rId34"/>
          <w:headerReference w:type="first" r:id="rId35"/>
          <w:footerReference w:type="first" r:id="rId36"/>
          <w:pgSz w:w="15840" w:h="12240" w:orient="landscape"/>
          <w:pgMar w:top="1440" w:right="1440" w:bottom="1440" w:left="1440" w:header="720" w:footer="720" w:gutter="0"/>
          <w:cols w:space="720"/>
          <w:rtlGutter/>
          <w:docGrid w:linePitch="360"/>
        </w:sectPr>
      </w:pPr>
    </w:p>
    <w:p w14:paraId="09B57135" w14:textId="77777777" w:rsidR="00F01795" w:rsidRPr="00CF14D5" w:rsidRDefault="00F01795" w:rsidP="00F01795">
      <w:pPr>
        <w:keepNext/>
        <w:keepLines/>
        <w:spacing w:before="120"/>
        <w:jc w:val="center"/>
        <w:outlineLvl w:val="2"/>
        <w:rPr>
          <w:rFonts w:ascii="Calibri" w:hAnsi="Calibri" w:cs="Calibri"/>
          <w:b/>
          <w:bCs/>
          <w:sz w:val="28"/>
          <w:szCs w:val="28"/>
        </w:rPr>
      </w:pPr>
      <w:bookmarkStart w:id="15" w:name="_Toc119418672"/>
      <w:r w:rsidRPr="00CF14D5">
        <w:rPr>
          <w:rFonts w:ascii="Calibri" w:hAnsi="Calibri" w:cs="Calibri"/>
          <w:b/>
          <w:bCs/>
          <w:sz w:val="28"/>
          <w:szCs w:val="28"/>
        </w:rPr>
        <w:lastRenderedPageBreak/>
        <w:t xml:space="preserve">Appendix D – </w:t>
      </w:r>
      <w:bookmarkStart w:id="16" w:name="_Hlk119349018"/>
      <w:r w:rsidRPr="00CF14D5">
        <w:rPr>
          <w:rFonts w:ascii="Calibri" w:hAnsi="Calibri" w:cs="Calibri"/>
          <w:b/>
          <w:bCs/>
          <w:sz w:val="28"/>
          <w:szCs w:val="28"/>
        </w:rPr>
        <w:t>FY 2023 State Activity Mandated Measures (SAMM) Report</w:t>
      </w:r>
      <w:bookmarkEnd w:id="15"/>
      <w:bookmarkEnd w:id="16"/>
    </w:p>
    <w:p w14:paraId="10C4BC86" w14:textId="77777777" w:rsidR="00F01795" w:rsidRPr="00CF14D5" w:rsidRDefault="00F01795" w:rsidP="00F01795">
      <w:pPr>
        <w:tabs>
          <w:tab w:val="center" w:pos="4680"/>
          <w:tab w:val="right" w:pos="9360"/>
        </w:tabs>
        <w:jc w:val="center"/>
        <w:rPr>
          <w:rFonts w:ascii="Calibri" w:hAnsi="Calibri"/>
        </w:rPr>
      </w:pPr>
      <w:r w:rsidRPr="00CF14D5">
        <w:rPr>
          <w:rFonts w:ascii="Calibri" w:hAnsi="Calibri"/>
        </w:rPr>
        <w:t>FY 2023 OSHNC Comprehensive FAME Report</w:t>
      </w:r>
    </w:p>
    <w:p w14:paraId="668111FB" w14:textId="77777777" w:rsidR="00F01795" w:rsidRPr="00CF14D5" w:rsidRDefault="00F01795" w:rsidP="00F01795">
      <w:pPr>
        <w:rPr>
          <w:rFonts w:ascii="Calibri" w:hAnsi="Calibri" w:cs="Calibri"/>
          <w:b/>
          <w:sz w:val="28"/>
          <w:szCs w:val="28"/>
        </w:rPr>
      </w:pPr>
    </w:p>
    <w:tbl>
      <w:tblPr>
        <w:tblStyle w:val="GridTable41"/>
        <w:tblW w:w="10980" w:type="dxa"/>
        <w:tblInd w:w="-365" w:type="dxa"/>
        <w:tblLook w:val="06A0" w:firstRow="1" w:lastRow="0" w:firstColumn="1" w:lastColumn="0" w:noHBand="1" w:noVBand="1"/>
        <w:tblCaption w:val="FY 20XX SAMM Report"/>
        <w:tblDescription w:val="Appendix D"/>
      </w:tblPr>
      <w:tblGrid>
        <w:gridCol w:w="1071"/>
        <w:gridCol w:w="2965"/>
        <w:gridCol w:w="1323"/>
        <w:gridCol w:w="1503"/>
        <w:gridCol w:w="4118"/>
      </w:tblGrid>
      <w:tr w:rsidR="00AB3B47" w:rsidRPr="00875EB0" w14:paraId="3ADED8BA" w14:textId="77777777" w:rsidTr="00AB3B4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71" w:type="dxa"/>
            <w:tcBorders>
              <w:right w:val="single" w:sz="4" w:space="0" w:color="000000"/>
            </w:tcBorders>
            <w:shd w:val="clear" w:color="auto" w:fill="auto"/>
          </w:tcPr>
          <w:p w14:paraId="009BB7F5"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color w:val="auto"/>
              </w:rPr>
            </w:pPr>
            <w:r w:rsidRPr="00875EB0">
              <w:rPr>
                <w:rFonts w:asciiTheme="minorHAnsi" w:eastAsia="PMingLiU" w:hAnsiTheme="minorHAnsi" w:cstheme="minorHAnsi"/>
                <w:color w:val="auto"/>
              </w:rPr>
              <w:t>SAMM Number</w:t>
            </w:r>
          </w:p>
        </w:tc>
        <w:tc>
          <w:tcPr>
            <w:tcW w:w="2965" w:type="dxa"/>
            <w:tcBorders>
              <w:left w:val="single" w:sz="4" w:space="0" w:color="000000"/>
              <w:right w:val="single" w:sz="4" w:space="0" w:color="000000"/>
            </w:tcBorders>
            <w:shd w:val="clear" w:color="auto" w:fill="auto"/>
          </w:tcPr>
          <w:p w14:paraId="70ECE973"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color w:val="auto"/>
              </w:rPr>
            </w:pPr>
            <w:r w:rsidRPr="00875EB0">
              <w:rPr>
                <w:rFonts w:asciiTheme="minorHAnsi" w:eastAsia="PMingLiU" w:hAnsiTheme="minorHAnsi" w:cstheme="minorHAnsi"/>
                <w:color w:val="auto"/>
              </w:rPr>
              <w:t>SAMM Name</w:t>
            </w:r>
          </w:p>
        </w:tc>
        <w:tc>
          <w:tcPr>
            <w:tcW w:w="1323" w:type="dxa"/>
            <w:tcBorders>
              <w:left w:val="single" w:sz="4" w:space="0" w:color="000000"/>
              <w:right w:val="single" w:sz="4" w:space="0" w:color="000000"/>
            </w:tcBorders>
            <w:shd w:val="clear" w:color="auto" w:fill="auto"/>
          </w:tcPr>
          <w:p w14:paraId="4BC4CA80"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color w:val="auto"/>
              </w:rPr>
            </w:pPr>
            <w:r w:rsidRPr="00875EB0">
              <w:rPr>
                <w:rFonts w:asciiTheme="minorHAnsi" w:eastAsia="PMingLiU" w:hAnsiTheme="minorHAnsi" w:cstheme="minorHAnsi"/>
                <w:color w:val="auto"/>
              </w:rPr>
              <w:t>State Plan Data</w:t>
            </w:r>
          </w:p>
        </w:tc>
        <w:tc>
          <w:tcPr>
            <w:tcW w:w="1503" w:type="dxa"/>
            <w:tcBorders>
              <w:left w:val="single" w:sz="4" w:space="0" w:color="000000"/>
              <w:right w:val="single" w:sz="4" w:space="0" w:color="000000"/>
            </w:tcBorders>
            <w:shd w:val="clear" w:color="auto" w:fill="auto"/>
          </w:tcPr>
          <w:p w14:paraId="57998144"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color w:val="auto"/>
              </w:rPr>
            </w:pPr>
            <w:r w:rsidRPr="00875EB0">
              <w:rPr>
                <w:rFonts w:asciiTheme="minorHAnsi" w:eastAsia="PMingLiU" w:hAnsiTheme="minorHAnsi" w:cstheme="minorHAnsi"/>
                <w:color w:val="auto"/>
              </w:rPr>
              <w:t>Further Review Level</w:t>
            </w:r>
          </w:p>
        </w:tc>
        <w:tc>
          <w:tcPr>
            <w:tcW w:w="4118" w:type="dxa"/>
            <w:tcBorders>
              <w:left w:val="single" w:sz="4" w:space="0" w:color="000000"/>
            </w:tcBorders>
            <w:shd w:val="clear" w:color="auto" w:fill="auto"/>
          </w:tcPr>
          <w:p w14:paraId="3700F5B4"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color w:val="auto"/>
              </w:rPr>
            </w:pPr>
            <w:r w:rsidRPr="00875EB0">
              <w:rPr>
                <w:rFonts w:asciiTheme="minorHAnsi" w:eastAsia="PMingLiU" w:hAnsiTheme="minorHAnsi" w:cstheme="minorHAnsi"/>
                <w:color w:val="auto"/>
              </w:rPr>
              <w:t>Notes</w:t>
            </w:r>
          </w:p>
        </w:tc>
      </w:tr>
      <w:tr w:rsidR="00F01795" w:rsidRPr="00875EB0" w14:paraId="1789BB47" w14:textId="77777777" w:rsidTr="00AB3B47">
        <w:trPr>
          <w:cantSplit/>
        </w:trPr>
        <w:tc>
          <w:tcPr>
            <w:cnfStyle w:val="001000000000" w:firstRow="0" w:lastRow="0" w:firstColumn="1" w:lastColumn="0" w:oddVBand="0" w:evenVBand="0" w:oddHBand="0" w:evenHBand="0" w:firstRowFirstColumn="0" w:firstRowLastColumn="0" w:lastRowFirstColumn="0" w:lastRowLastColumn="0"/>
            <w:tcW w:w="1071" w:type="dxa"/>
          </w:tcPr>
          <w:p w14:paraId="122D2559"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875EB0">
              <w:rPr>
                <w:rFonts w:asciiTheme="minorHAnsi" w:eastAsia="PMingLiU" w:hAnsiTheme="minorHAnsi" w:cstheme="minorHAnsi"/>
              </w:rPr>
              <w:t>1a</w:t>
            </w:r>
          </w:p>
        </w:tc>
        <w:tc>
          <w:tcPr>
            <w:tcW w:w="2965" w:type="dxa"/>
          </w:tcPr>
          <w:p w14:paraId="68FE8FA3"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hAnsiTheme="minorHAnsi" w:cstheme="minorHAnsi"/>
              </w:rPr>
              <w:t>Average number of work days to initiate complaint inspections (state formula)</w:t>
            </w:r>
          </w:p>
        </w:tc>
        <w:tc>
          <w:tcPr>
            <w:tcW w:w="1323" w:type="dxa"/>
          </w:tcPr>
          <w:p w14:paraId="08D944EC"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eastAsia="PMingLiU" w:hAnsiTheme="minorHAnsi" w:cstheme="minorHAnsi"/>
              </w:rPr>
              <w:t>3.86</w:t>
            </w:r>
          </w:p>
        </w:tc>
        <w:tc>
          <w:tcPr>
            <w:tcW w:w="1503" w:type="dxa"/>
          </w:tcPr>
          <w:p w14:paraId="1235CA02"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eastAsia="PMingLiU" w:hAnsiTheme="minorHAnsi" w:cstheme="minorHAnsi"/>
              </w:rPr>
              <w:t>10</w:t>
            </w:r>
          </w:p>
        </w:tc>
        <w:tc>
          <w:tcPr>
            <w:tcW w:w="4118" w:type="dxa"/>
          </w:tcPr>
          <w:p w14:paraId="34937203"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hAnsiTheme="minorHAnsi" w:cstheme="minorHAnsi"/>
              </w:rPr>
              <w:t>The further review level is negotiated by OSHA and the State Plan.</w:t>
            </w:r>
          </w:p>
        </w:tc>
      </w:tr>
      <w:tr w:rsidR="00F01795" w:rsidRPr="00875EB0" w14:paraId="7140CE72" w14:textId="77777777" w:rsidTr="00AB3B47">
        <w:trPr>
          <w:cantSplit/>
        </w:trPr>
        <w:tc>
          <w:tcPr>
            <w:cnfStyle w:val="001000000000" w:firstRow="0" w:lastRow="0" w:firstColumn="1" w:lastColumn="0" w:oddVBand="0" w:evenVBand="0" w:oddHBand="0" w:evenHBand="0" w:firstRowFirstColumn="0" w:firstRowLastColumn="0" w:lastRowFirstColumn="0" w:lastRowLastColumn="0"/>
            <w:tcW w:w="1071" w:type="dxa"/>
          </w:tcPr>
          <w:p w14:paraId="19E252A2"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875EB0">
              <w:rPr>
                <w:rFonts w:asciiTheme="minorHAnsi" w:eastAsia="PMingLiU" w:hAnsiTheme="minorHAnsi" w:cstheme="minorHAnsi"/>
              </w:rPr>
              <w:t>1b</w:t>
            </w:r>
          </w:p>
        </w:tc>
        <w:tc>
          <w:tcPr>
            <w:tcW w:w="2965" w:type="dxa"/>
          </w:tcPr>
          <w:p w14:paraId="1A88E167"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hAnsiTheme="minorHAnsi" w:cstheme="minorHAnsi"/>
              </w:rPr>
              <w:t>Average number of work days to initiate complaint inspections (federal formula)</w:t>
            </w:r>
          </w:p>
        </w:tc>
        <w:tc>
          <w:tcPr>
            <w:tcW w:w="1323" w:type="dxa"/>
          </w:tcPr>
          <w:p w14:paraId="103BEA03"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eastAsia="PMingLiU" w:hAnsiTheme="minorHAnsi" w:cstheme="minorHAnsi"/>
              </w:rPr>
              <w:t>1.52</w:t>
            </w:r>
          </w:p>
        </w:tc>
        <w:tc>
          <w:tcPr>
            <w:tcW w:w="1503" w:type="dxa"/>
          </w:tcPr>
          <w:p w14:paraId="658D3467"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hAnsiTheme="minorHAnsi" w:cstheme="minorHAnsi"/>
              </w:rPr>
              <w:t>N/A</w:t>
            </w:r>
          </w:p>
        </w:tc>
        <w:tc>
          <w:tcPr>
            <w:tcW w:w="4118" w:type="dxa"/>
          </w:tcPr>
          <w:p w14:paraId="75203FE9"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hAnsiTheme="minorHAnsi" w:cstheme="minorHAnsi"/>
              </w:rPr>
              <w:t>This measure is for informational purposes only and is not a mandated measure.</w:t>
            </w:r>
          </w:p>
        </w:tc>
      </w:tr>
      <w:tr w:rsidR="00F01795" w:rsidRPr="00875EB0" w14:paraId="67D18DF2" w14:textId="77777777" w:rsidTr="00AB3B47">
        <w:trPr>
          <w:cantSplit/>
        </w:trPr>
        <w:tc>
          <w:tcPr>
            <w:cnfStyle w:val="001000000000" w:firstRow="0" w:lastRow="0" w:firstColumn="1" w:lastColumn="0" w:oddVBand="0" w:evenVBand="0" w:oddHBand="0" w:evenHBand="0" w:firstRowFirstColumn="0" w:firstRowLastColumn="0" w:lastRowFirstColumn="0" w:lastRowLastColumn="0"/>
            <w:tcW w:w="1071" w:type="dxa"/>
          </w:tcPr>
          <w:p w14:paraId="5E3CCE8B"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875EB0">
              <w:rPr>
                <w:rFonts w:asciiTheme="minorHAnsi" w:eastAsia="PMingLiU" w:hAnsiTheme="minorHAnsi" w:cstheme="minorHAnsi"/>
              </w:rPr>
              <w:t>2a</w:t>
            </w:r>
          </w:p>
        </w:tc>
        <w:tc>
          <w:tcPr>
            <w:tcW w:w="2965" w:type="dxa"/>
          </w:tcPr>
          <w:p w14:paraId="5DCC9052"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hAnsiTheme="minorHAnsi" w:cstheme="minorHAnsi"/>
              </w:rPr>
              <w:t>Average number of work days to initiate complaint investigations (state formula)</w:t>
            </w:r>
          </w:p>
        </w:tc>
        <w:tc>
          <w:tcPr>
            <w:tcW w:w="1323" w:type="dxa"/>
          </w:tcPr>
          <w:p w14:paraId="0BC9943A"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eastAsia="PMingLiU" w:hAnsiTheme="minorHAnsi" w:cstheme="minorHAnsi"/>
              </w:rPr>
              <w:t>1.76</w:t>
            </w:r>
          </w:p>
        </w:tc>
        <w:tc>
          <w:tcPr>
            <w:tcW w:w="1503" w:type="dxa"/>
          </w:tcPr>
          <w:p w14:paraId="4F4820E7"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hAnsiTheme="minorHAnsi" w:cstheme="minorHAnsi"/>
              </w:rPr>
              <w:t>4</w:t>
            </w:r>
          </w:p>
        </w:tc>
        <w:tc>
          <w:tcPr>
            <w:tcW w:w="4118" w:type="dxa"/>
          </w:tcPr>
          <w:p w14:paraId="1D2321BA"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hAnsiTheme="minorHAnsi" w:cstheme="minorHAnsi"/>
              </w:rPr>
              <w:t>The further review level is negotiated by OSHA and the State Plan.</w:t>
            </w:r>
          </w:p>
        </w:tc>
      </w:tr>
      <w:tr w:rsidR="00F01795" w:rsidRPr="00875EB0" w14:paraId="0797254D" w14:textId="77777777" w:rsidTr="00AB3B47">
        <w:trPr>
          <w:cantSplit/>
        </w:trPr>
        <w:tc>
          <w:tcPr>
            <w:cnfStyle w:val="001000000000" w:firstRow="0" w:lastRow="0" w:firstColumn="1" w:lastColumn="0" w:oddVBand="0" w:evenVBand="0" w:oddHBand="0" w:evenHBand="0" w:firstRowFirstColumn="0" w:firstRowLastColumn="0" w:lastRowFirstColumn="0" w:lastRowLastColumn="0"/>
            <w:tcW w:w="1071" w:type="dxa"/>
          </w:tcPr>
          <w:p w14:paraId="6D3F71A6"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875EB0">
              <w:rPr>
                <w:rFonts w:asciiTheme="minorHAnsi" w:eastAsia="PMingLiU" w:hAnsiTheme="minorHAnsi" w:cstheme="minorHAnsi"/>
              </w:rPr>
              <w:t>2b</w:t>
            </w:r>
          </w:p>
        </w:tc>
        <w:tc>
          <w:tcPr>
            <w:tcW w:w="2965" w:type="dxa"/>
          </w:tcPr>
          <w:p w14:paraId="35F7ED5C"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hAnsiTheme="minorHAnsi" w:cstheme="minorHAnsi"/>
              </w:rPr>
              <w:t>Average number of work days to initiate complaint investigations (federal formula)</w:t>
            </w:r>
          </w:p>
        </w:tc>
        <w:tc>
          <w:tcPr>
            <w:tcW w:w="1323" w:type="dxa"/>
          </w:tcPr>
          <w:p w14:paraId="0359A63C"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eastAsia="PMingLiU" w:hAnsiTheme="minorHAnsi" w:cstheme="minorHAnsi"/>
              </w:rPr>
              <w:t>0.63</w:t>
            </w:r>
          </w:p>
        </w:tc>
        <w:tc>
          <w:tcPr>
            <w:tcW w:w="1503" w:type="dxa"/>
          </w:tcPr>
          <w:p w14:paraId="214B0E09"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hAnsiTheme="minorHAnsi" w:cstheme="minorHAnsi"/>
              </w:rPr>
              <w:t>N/A</w:t>
            </w:r>
          </w:p>
        </w:tc>
        <w:tc>
          <w:tcPr>
            <w:tcW w:w="4118" w:type="dxa"/>
          </w:tcPr>
          <w:p w14:paraId="576638A0"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hAnsiTheme="minorHAnsi" w:cstheme="minorHAnsi"/>
              </w:rPr>
              <w:t>This measure is for informational purposes only and is not a mandated measure.</w:t>
            </w:r>
          </w:p>
        </w:tc>
      </w:tr>
      <w:tr w:rsidR="00F01795" w:rsidRPr="00875EB0" w14:paraId="1E6B35B3" w14:textId="77777777" w:rsidTr="00AB3B47">
        <w:trPr>
          <w:cantSplit/>
        </w:trPr>
        <w:tc>
          <w:tcPr>
            <w:cnfStyle w:val="001000000000" w:firstRow="0" w:lastRow="0" w:firstColumn="1" w:lastColumn="0" w:oddVBand="0" w:evenVBand="0" w:oddHBand="0" w:evenHBand="0" w:firstRowFirstColumn="0" w:firstRowLastColumn="0" w:lastRowFirstColumn="0" w:lastRowLastColumn="0"/>
            <w:tcW w:w="1071" w:type="dxa"/>
          </w:tcPr>
          <w:p w14:paraId="4C7E9FE9"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875EB0">
              <w:rPr>
                <w:rFonts w:asciiTheme="minorHAnsi" w:eastAsia="PMingLiU" w:hAnsiTheme="minorHAnsi" w:cstheme="minorHAnsi"/>
              </w:rPr>
              <w:t>3</w:t>
            </w:r>
          </w:p>
        </w:tc>
        <w:tc>
          <w:tcPr>
            <w:tcW w:w="2965" w:type="dxa"/>
          </w:tcPr>
          <w:p w14:paraId="30C99C8A"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hAnsiTheme="minorHAnsi" w:cstheme="minorHAnsi"/>
              </w:rPr>
              <w:t>Percent of complaints and referrals responded to within one workday (imminent danger)</w:t>
            </w:r>
          </w:p>
        </w:tc>
        <w:tc>
          <w:tcPr>
            <w:tcW w:w="1323" w:type="dxa"/>
          </w:tcPr>
          <w:p w14:paraId="41872D61"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hAnsiTheme="minorHAnsi" w:cstheme="minorHAnsi"/>
              </w:rPr>
              <w:t>100%</w:t>
            </w:r>
          </w:p>
        </w:tc>
        <w:tc>
          <w:tcPr>
            <w:tcW w:w="1503" w:type="dxa"/>
          </w:tcPr>
          <w:p w14:paraId="79E4B482"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eastAsia="PMingLiU" w:hAnsiTheme="minorHAnsi" w:cstheme="minorHAnsi"/>
              </w:rPr>
              <w:t>100%</w:t>
            </w:r>
          </w:p>
        </w:tc>
        <w:tc>
          <w:tcPr>
            <w:tcW w:w="4118" w:type="dxa"/>
          </w:tcPr>
          <w:p w14:paraId="55EDCA00"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hAnsiTheme="minorHAnsi" w:cstheme="minorHAnsi"/>
              </w:rPr>
              <w:t>The further review level is fixed for all State Plans.</w:t>
            </w:r>
          </w:p>
        </w:tc>
      </w:tr>
      <w:tr w:rsidR="00F01795" w:rsidRPr="00875EB0" w14:paraId="42F80394" w14:textId="77777777" w:rsidTr="00AB3B47">
        <w:trPr>
          <w:cantSplit/>
        </w:trPr>
        <w:tc>
          <w:tcPr>
            <w:cnfStyle w:val="001000000000" w:firstRow="0" w:lastRow="0" w:firstColumn="1" w:lastColumn="0" w:oddVBand="0" w:evenVBand="0" w:oddHBand="0" w:evenHBand="0" w:firstRowFirstColumn="0" w:firstRowLastColumn="0" w:lastRowFirstColumn="0" w:lastRowLastColumn="0"/>
            <w:tcW w:w="1071" w:type="dxa"/>
          </w:tcPr>
          <w:p w14:paraId="11F7C363"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875EB0">
              <w:rPr>
                <w:rFonts w:asciiTheme="minorHAnsi" w:eastAsia="PMingLiU" w:hAnsiTheme="minorHAnsi" w:cstheme="minorHAnsi"/>
              </w:rPr>
              <w:t>4</w:t>
            </w:r>
          </w:p>
        </w:tc>
        <w:tc>
          <w:tcPr>
            <w:tcW w:w="2965" w:type="dxa"/>
          </w:tcPr>
          <w:p w14:paraId="690F58A5"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hAnsiTheme="minorHAnsi" w:cstheme="minorHAnsi"/>
              </w:rPr>
              <w:t>Number of denials where entry not obtained</w:t>
            </w:r>
          </w:p>
        </w:tc>
        <w:tc>
          <w:tcPr>
            <w:tcW w:w="1323" w:type="dxa"/>
          </w:tcPr>
          <w:p w14:paraId="0CC8AE2D"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eastAsia="PMingLiU" w:hAnsiTheme="minorHAnsi" w:cstheme="minorHAnsi"/>
              </w:rPr>
              <w:t>0</w:t>
            </w:r>
          </w:p>
        </w:tc>
        <w:tc>
          <w:tcPr>
            <w:tcW w:w="1503" w:type="dxa"/>
          </w:tcPr>
          <w:p w14:paraId="09CEADF9"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hAnsiTheme="minorHAnsi" w:cstheme="minorHAnsi"/>
              </w:rPr>
              <w:t>0</w:t>
            </w:r>
          </w:p>
        </w:tc>
        <w:tc>
          <w:tcPr>
            <w:tcW w:w="4118" w:type="dxa"/>
          </w:tcPr>
          <w:p w14:paraId="58F4D0B8"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hAnsiTheme="minorHAnsi" w:cstheme="minorHAnsi"/>
              </w:rPr>
              <w:t>The further review level is fixed for all State Plans.</w:t>
            </w:r>
          </w:p>
        </w:tc>
      </w:tr>
      <w:tr w:rsidR="00F01795" w:rsidRPr="00875EB0" w14:paraId="146DEBE3" w14:textId="77777777" w:rsidTr="00AB3B47">
        <w:trPr>
          <w:cantSplit/>
          <w:trHeight w:val="854"/>
        </w:trPr>
        <w:tc>
          <w:tcPr>
            <w:cnfStyle w:val="001000000000" w:firstRow="0" w:lastRow="0" w:firstColumn="1" w:lastColumn="0" w:oddVBand="0" w:evenVBand="0" w:oddHBand="0" w:evenHBand="0" w:firstRowFirstColumn="0" w:firstRowLastColumn="0" w:lastRowFirstColumn="0" w:lastRowLastColumn="0"/>
            <w:tcW w:w="1071" w:type="dxa"/>
          </w:tcPr>
          <w:p w14:paraId="3FAE0B59"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875EB0">
              <w:rPr>
                <w:rFonts w:asciiTheme="minorHAnsi" w:eastAsia="PMingLiU" w:hAnsiTheme="minorHAnsi" w:cstheme="minorHAnsi"/>
              </w:rPr>
              <w:t>5a</w:t>
            </w:r>
          </w:p>
        </w:tc>
        <w:tc>
          <w:tcPr>
            <w:tcW w:w="2965" w:type="dxa"/>
          </w:tcPr>
          <w:p w14:paraId="12F63338"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hAnsiTheme="minorHAnsi" w:cstheme="minorHAnsi"/>
              </w:rPr>
              <w:t>Average number of violations per inspection with violations by violation type (SWRU)</w:t>
            </w:r>
          </w:p>
        </w:tc>
        <w:tc>
          <w:tcPr>
            <w:tcW w:w="1323" w:type="dxa"/>
          </w:tcPr>
          <w:p w14:paraId="0A17B5AD"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eastAsia="PMingLiU" w:hAnsiTheme="minorHAnsi" w:cstheme="minorHAnsi"/>
              </w:rPr>
              <w:t>1.94</w:t>
            </w:r>
          </w:p>
        </w:tc>
        <w:tc>
          <w:tcPr>
            <w:tcW w:w="1503" w:type="dxa"/>
          </w:tcPr>
          <w:p w14:paraId="4AA16884" w14:textId="77777777" w:rsidR="00F01795" w:rsidRPr="00875EB0" w:rsidRDefault="00F01795" w:rsidP="008150A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5EB0">
              <w:rPr>
                <w:rFonts w:asciiTheme="minorHAnsi" w:hAnsiTheme="minorHAnsi" w:cstheme="minorHAnsi"/>
              </w:rPr>
              <w:t>+/- 20% of 1.75</w:t>
            </w:r>
          </w:p>
          <w:p w14:paraId="2D337269" w14:textId="77777777" w:rsidR="00F01795" w:rsidRPr="00875EB0" w:rsidRDefault="00F01795" w:rsidP="008150A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9B8F38C"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118" w:type="dxa"/>
          </w:tcPr>
          <w:p w14:paraId="37640DB0"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eastAsia="PMingLiU" w:hAnsiTheme="minorHAnsi" w:cstheme="minorHAnsi"/>
              </w:rPr>
              <w:t xml:space="preserve">The further review level is based on a three-year national average.  The range of acceptable data not requiring further review is from 1.40 to 2.10 for SWRU. </w:t>
            </w:r>
          </w:p>
        </w:tc>
      </w:tr>
      <w:tr w:rsidR="00F01795" w:rsidRPr="00875EB0" w14:paraId="3DBE5BCE" w14:textId="77777777" w:rsidTr="00AB3B47">
        <w:trPr>
          <w:cantSplit/>
        </w:trPr>
        <w:tc>
          <w:tcPr>
            <w:cnfStyle w:val="001000000000" w:firstRow="0" w:lastRow="0" w:firstColumn="1" w:lastColumn="0" w:oddVBand="0" w:evenVBand="0" w:oddHBand="0" w:evenHBand="0" w:firstRowFirstColumn="0" w:firstRowLastColumn="0" w:lastRowFirstColumn="0" w:lastRowLastColumn="0"/>
            <w:tcW w:w="1071" w:type="dxa"/>
          </w:tcPr>
          <w:p w14:paraId="57FF19DD"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875EB0">
              <w:rPr>
                <w:rFonts w:asciiTheme="minorHAnsi" w:eastAsia="PMingLiU" w:hAnsiTheme="minorHAnsi" w:cstheme="minorHAnsi"/>
              </w:rPr>
              <w:t>5b</w:t>
            </w:r>
          </w:p>
        </w:tc>
        <w:tc>
          <w:tcPr>
            <w:tcW w:w="2965" w:type="dxa"/>
          </w:tcPr>
          <w:p w14:paraId="7090082D"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5EB0">
              <w:rPr>
                <w:rFonts w:asciiTheme="minorHAnsi" w:hAnsiTheme="minorHAnsi" w:cstheme="minorHAnsi"/>
              </w:rPr>
              <w:t>Average number of violations per inspection with violations by violation type (other)</w:t>
            </w:r>
          </w:p>
        </w:tc>
        <w:tc>
          <w:tcPr>
            <w:tcW w:w="1323" w:type="dxa"/>
          </w:tcPr>
          <w:p w14:paraId="60969ED5"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eastAsia="PMingLiU" w:hAnsiTheme="minorHAnsi" w:cstheme="minorHAnsi"/>
              </w:rPr>
              <w:t>0.94</w:t>
            </w:r>
          </w:p>
        </w:tc>
        <w:tc>
          <w:tcPr>
            <w:tcW w:w="1503" w:type="dxa"/>
          </w:tcPr>
          <w:p w14:paraId="0D582E38" w14:textId="77777777" w:rsidR="00F01795" w:rsidRPr="00875EB0" w:rsidRDefault="00F01795" w:rsidP="008150A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5EB0">
              <w:rPr>
                <w:rFonts w:asciiTheme="minorHAnsi" w:hAnsiTheme="minorHAnsi" w:cstheme="minorHAnsi"/>
              </w:rPr>
              <w:t>+/- 20% of 0.89</w:t>
            </w:r>
          </w:p>
          <w:p w14:paraId="0AF1CFD9"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118" w:type="dxa"/>
          </w:tcPr>
          <w:p w14:paraId="79BF5F77"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eastAsia="PMingLiU" w:hAnsiTheme="minorHAnsi" w:cstheme="minorHAnsi"/>
              </w:rPr>
              <w:t>The further review level is based on a three-year national average.  The range of acceptable data not requiring further review is from 0.71 to 1.07 for OTS.</w:t>
            </w:r>
          </w:p>
        </w:tc>
      </w:tr>
      <w:tr w:rsidR="00F01795" w:rsidRPr="00875EB0" w14:paraId="581BF4EC" w14:textId="77777777" w:rsidTr="00AB3B47">
        <w:trPr>
          <w:cantSplit/>
        </w:trPr>
        <w:tc>
          <w:tcPr>
            <w:cnfStyle w:val="001000000000" w:firstRow="0" w:lastRow="0" w:firstColumn="1" w:lastColumn="0" w:oddVBand="0" w:evenVBand="0" w:oddHBand="0" w:evenHBand="0" w:firstRowFirstColumn="0" w:firstRowLastColumn="0" w:lastRowFirstColumn="0" w:lastRowLastColumn="0"/>
            <w:tcW w:w="1071" w:type="dxa"/>
          </w:tcPr>
          <w:p w14:paraId="4AD4C62D"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875EB0">
              <w:rPr>
                <w:rFonts w:asciiTheme="minorHAnsi" w:eastAsia="PMingLiU" w:hAnsiTheme="minorHAnsi" w:cstheme="minorHAnsi"/>
              </w:rPr>
              <w:lastRenderedPageBreak/>
              <w:t>6</w:t>
            </w:r>
          </w:p>
        </w:tc>
        <w:tc>
          <w:tcPr>
            <w:tcW w:w="2965" w:type="dxa"/>
          </w:tcPr>
          <w:p w14:paraId="5FC38C1B"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hAnsiTheme="minorHAnsi" w:cstheme="minorHAnsi"/>
              </w:rPr>
              <w:t>Percent of total inspections in state and local government workplaces</w:t>
            </w:r>
          </w:p>
        </w:tc>
        <w:tc>
          <w:tcPr>
            <w:tcW w:w="1323" w:type="dxa"/>
          </w:tcPr>
          <w:p w14:paraId="6BE2C6E4"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hAnsiTheme="minorHAnsi" w:cstheme="minorHAnsi"/>
              </w:rPr>
              <w:t>6.81%</w:t>
            </w:r>
          </w:p>
        </w:tc>
        <w:tc>
          <w:tcPr>
            <w:tcW w:w="1503" w:type="dxa"/>
          </w:tcPr>
          <w:p w14:paraId="75F505EC" w14:textId="77777777" w:rsidR="00F01795" w:rsidRPr="00875EB0" w:rsidRDefault="00F01795" w:rsidP="008150A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5EB0">
              <w:rPr>
                <w:rFonts w:asciiTheme="minorHAnsi" w:hAnsiTheme="minorHAnsi" w:cstheme="minorHAnsi"/>
              </w:rPr>
              <w:t>+/- 5% of</w:t>
            </w:r>
          </w:p>
          <w:p w14:paraId="53F11A8E"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hAnsiTheme="minorHAnsi" w:cstheme="minorHAnsi"/>
              </w:rPr>
              <w:t>5.00%</w:t>
            </w:r>
          </w:p>
        </w:tc>
        <w:tc>
          <w:tcPr>
            <w:tcW w:w="4118" w:type="dxa"/>
          </w:tcPr>
          <w:p w14:paraId="6394A21C"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eastAsia="PMingLiU" w:hAnsiTheme="minorHAnsi" w:cstheme="minorHAnsi"/>
              </w:rPr>
              <w:t>The further review level is based on a number negotiated by OSHA and the State Plan through the grant application.  The range of acceptable data not requiring further review is from 4.75% to 5.25%.</w:t>
            </w:r>
          </w:p>
        </w:tc>
      </w:tr>
      <w:tr w:rsidR="00F01795" w:rsidRPr="00875EB0" w14:paraId="25213260" w14:textId="77777777" w:rsidTr="00AB3B47">
        <w:trPr>
          <w:cantSplit/>
        </w:trPr>
        <w:tc>
          <w:tcPr>
            <w:cnfStyle w:val="001000000000" w:firstRow="0" w:lastRow="0" w:firstColumn="1" w:lastColumn="0" w:oddVBand="0" w:evenVBand="0" w:oddHBand="0" w:evenHBand="0" w:firstRowFirstColumn="0" w:firstRowLastColumn="0" w:lastRowFirstColumn="0" w:lastRowLastColumn="0"/>
            <w:tcW w:w="1071" w:type="dxa"/>
          </w:tcPr>
          <w:p w14:paraId="438FD907"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875EB0">
              <w:rPr>
                <w:rFonts w:asciiTheme="minorHAnsi" w:eastAsia="PMingLiU" w:hAnsiTheme="minorHAnsi" w:cstheme="minorHAnsi"/>
              </w:rPr>
              <w:t>7a</w:t>
            </w:r>
          </w:p>
        </w:tc>
        <w:tc>
          <w:tcPr>
            <w:tcW w:w="2965" w:type="dxa"/>
          </w:tcPr>
          <w:p w14:paraId="0085AC7A"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hAnsiTheme="minorHAnsi" w:cstheme="minorHAnsi"/>
              </w:rPr>
              <w:t>Planned v. actual inspections (safety)</w:t>
            </w:r>
          </w:p>
        </w:tc>
        <w:tc>
          <w:tcPr>
            <w:tcW w:w="1323" w:type="dxa"/>
          </w:tcPr>
          <w:p w14:paraId="23366A03"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eastAsia="PMingLiU" w:hAnsiTheme="minorHAnsi" w:cstheme="minorHAnsi"/>
              </w:rPr>
              <w:t>1,104</w:t>
            </w:r>
          </w:p>
        </w:tc>
        <w:tc>
          <w:tcPr>
            <w:tcW w:w="1503" w:type="dxa"/>
          </w:tcPr>
          <w:p w14:paraId="798DB693" w14:textId="77777777" w:rsidR="00F01795" w:rsidRPr="00875EB0" w:rsidRDefault="00F01795" w:rsidP="008150A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5EB0">
              <w:rPr>
                <w:rFonts w:asciiTheme="minorHAnsi" w:hAnsiTheme="minorHAnsi" w:cstheme="minorHAnsi"/>
              </w:rPr>
              <w:t xml:space="preserve">+/- 5% of </w:t>
            </w:r>
          </w:p>
          <w:p w14:paraId="4CA227AA"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hAnsiTheme="minorHAnsi" w:cstheme="minorHAnsi"/>
              </w:rPr>
              <w:t>1,145</w:t>
            </w:r>
          </w:p>
        </w:tc>
        <w:tc>
          <w:tcPr>
            <w:tcW w:w="4118" w:type="dxa"/>
          </w:tcPr>
          <w:p w14:paraId="03D8898A"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hAnsiTheme="minorHAnsi" w:cstheme="minorHAnsi"/>
              </w:rPr>
              <w:t>The further review level is based on a number negotiated by OSHA and the State Plan through the grant application.  The range of acceptable data not requiring further review is from 1,087.75 to 1,202.25 for safety.</w:t>
            </w:r>
          </w:p>
        </w:tc>
      </w:tr>
      <w:tr w:rsidR="00F01795" w:rsidRPr="00875EB0" w14:paraId="767BD954" w14:textId="77777777" w:rsidTr="00AB3B47">
        <w:trPr>
          <w:cantSplit/>
        </w:trPr>
        <w:tc>
          <w:tcPr>
            <w:cnfStyle w:val="001000000000" w:firstRow="0" w:lastRow="0" w:firstColumn="1" w:lastColumn="0" w:oddVBand="0" w:evenVBand="0" w:oddHBand="0" w:evenHBand="0" w:firstRowFirstColumn="0" w:firstRowLastColumn="0" w:lastRowFirstColumn="0" w:lastRowLastColumn="0"/>
            <w:tcW w:w="1071" w:type="dxa"/>
          </w:tcPr>
          <w:p w14:paraId="05964C0B"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875EB0">
              <w:rPr>
                <w:rFonts w:asciiTheme="minorHAnsi" w:eastAsia="PMingLiU" w:hAnsiTheme="minorHAnsi" w:cstheme="minorHAnsi"/>
              </w:rPr>
              <w:t>7b</w:t>
            </w:r>
          </w:p>
        </w:tc>
        <w:tc>
          <w:tcPr>
            <w:tcW w:w="2965" w:type="dxa"/>
          </w:tcPr>
          <w:p w14:paraId="71EFFA31"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5EB0">
              <w:rPr>
                <w:rFonts w:asciiTheme="minorHAnsi" w:hAnsiTheme="minorHAnsi" w:cstheme="minorHAnsi"/>
              </w:rPr>
              <w:t>Planned v. actual inspections (health)</w:t>
            </w:r>
          </w:p>
        </w:tc>
        <w:tc>
          <w:tcPr>
            <w:tcW w:w="1323" w:type="dxa"/>
          </w:tcPr>
          <w:p w14:paraId="1E5E0C7C"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eastAsia="PMingLiU" w:hAnsiTheme="minorHAnsi" w:cstheme="minorHAnsi"/>
              </w:rPr>
              <w:t>657</w:t>
            </w:r>
          </w:p>
        </w:tc>
        <w:tc>
          <w:tcPr>
            <w:tcW w:w="1503" w:type="dxa"/>
          </w:tcPr>
          <w:p w14:paraId="1911AD11" w14:textId="77777777" w:rsidR="00F01795" w:rsidRPr="00875EB0" w:rsidRDefault="00F01795" w:rsidP="008150A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5EB0">
              <w:rPr>
                <w:rFonts w:asciiTheme="minorHAnsi" w:hAnsiTheme="minorHAnsi" w:cstheme="minorHAnsi"/>
              </w:rPr>
              <w:t xml:space="preserve">+/- 5% of </w:t>
            </w:r>
          </w:p>
          <w:p w14:paraId="56292B9B"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hAnsiTheme="minorHAnsi" w:cstheme="minorHAnsi"/>
              </w:rPr>
              <w:t>755</w:t>
            </w:r>
          </w:p>
        </w:tc>
        <w:tc>
          <w:tcPr>
            <w:tcW w:w="4118" w:type="dxa"/>
          </w:tcPr>
          <w:p w14:paraId="047ACFA0"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hAnsiTheme="minorHAnsi" w:cstheme="minorHAnsi"/>
              </w:rPr>
              <w:t>The further review level is based on a number negotiated by OSHA and the State Plan through the grant application.  The range of acceptable data not requiring further review is from 717.25 to 792.75 for health.</w:t>
            </w:r>
          </w:p>
        </w:tc>
      </w:tr>
      <w:tr w:rsidR="00F01795" w:rsidRPr="00875EB0" w14:paraId="4F6D76D2" w14:textId="77777777" w:rsidTr="00AB3B47">
        <w:trPr>
          <w:cantSplit/>
        </w:trPr>
        <w:tc>
          <w:tcPr>
            <w:cnfStyle w:val="001000000000" w:firstRow="0" w:lastRow="0" w:firstColumn="1" w:lastColumn="0" w:oddVBand="0" w:evenVBand="0" w:oddHBand="0" w:evenHBand="0" w:firstRowFirstColumn="0" w:firstRowLastColumn="0" w:lastRowFirstColumn="0" w:lastRowLastColumn="0"/>
            <w:tcW w:w="1071" w:type="dxa"/>
          </w:tcPr>
          <w:p w14:paraId="084D722A"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875EB0">
              <w:rPr>
                <w:rFonts w:asciiTheme="minorHAnsi" w:eastAsia="PMingLiU" w:hAnsiTheme="minorHAnsi" w:cstheme="minorHAnsi"/>
              </w:rPr>
              <w:t>8</w:t>
            </w:r>
          </w:p>
        </w:tc>
        <w:tc>
          <w:tcPr>
            <w:tcW w:w="2965" w:type="dxa"/>
          </w:tcPr>
          <w:p w14:paraId="1E217879"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hAnsiTheme="minorHAnsi" w:cstheme="minorHAnsi"/>
              </w:rPr>
              <w:t>Average current serious penalty in private sector - total (1 to greater than 250 workers)</w:t>
            </w:r>
          </w:p>
        </w:tc>
        <w:tc>
          <w:tcPr>
            <w:tcW w:w="1323" w:type="dxa"/>
          </w:tcPr>
          <w:p w14:paraId="05176AD0"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eastAsia="PMingLiU" w:hAnsiTheme="minorHAnsi" w:cstheme="minorHAnsi"/>
              </w:rPr>
              <w:t>$3,708.60</w:t>
            </w:r>
          </w:p>
        </w:tc>
        <w:tc>
          <w:tcPr>
            <w:tcW w:w="1503" w:type="dxa"/>
          </w:tcPr>
          <w:p w14:paraId="6E697185" w14:textId="77777777" w:rsidR="00F01795" w:rsidRPr="00875EB0" w:rsidRDefault="00F01795" w:rsidP="008150A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5EB0">
              <w:rPr>
                <w:rFonts w:asciiTheme="minorHAnsi" w:hAnsiTheme="minorHAnsi" w:cstheme="minorHAnsi"/>
              </w:rPr>
              <w:t xml:space="preserve">+/- 25% of </w:t>
            </w:r>
          </w:p>
          <w:p w14:paraId="5E34F1DA" w14:textId="77777777" w:rsidR="00F01795" w:rsidRPr="00875EB0" w:rsidRDefault="00F01795" w:rsidP="008150A0">
            <w:pP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eastAsia="PMingLiU" w:hAnsiTheme="minorHAnsi" w:cstheme="minorHAnsi"/>
              </w:rPr>
              <w:t>$3,625.21</w:t>
            </w:r>
          </w:p>
          <w:p w14:paraId="302F1FD3"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118" w:type="dxa"/>
          </w:tcPr>
          <w:p w14:paraId="1AE49D26" w14:textId="77777777" w:rsidR="00F01795" w:rsidRPr="00875EB0" w:rsidRDefault="00F01795" w:rsidP="008150A0">
            <w:pPr>
              <w:tabs>
                <w:tab w:val="left" w:pos="2416"/>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5EB0">
              <w:rPr>
                <w:rFonts w:asciiTheme="minorHAnsi" w:hAnsiTheme="minorHAnsi" w:cstheme="minorHAnsi"/>
              </w:rPr>
              <w:t>The further review level is based on a three-year national average.  The range of acceptable data not requiring further review is from $2,718.91 to $4,531.51.</w:t>
            </w:r>
          </w:p>
        </w:tc>
      </w:tr>
      <w:tr w:rsidR="00F01795" w:rsidRPr="00875EB0" w14:paraId="6300FC07" w14:textId="77777777" w:rsidTr="00AB3B47">
        <w:trPr>
          <w:cantSplit/>
        </w:trPr>
        <w:tc>
          <w:tcPr>
            <w:cnfStyle w:val="001000000000" w:firstRow="0" w:lastRow="0" w:firstColumn="1" w:lastColumn="0" w:oddVBand="0" w:evenVBand="0" w:oddHBand="0" w:evenHBand="0" w:firstRowFirstColumn="0" w:firstRowLastColumn="0" w:lastRowFirstColumn="0" w:lastRowLastColumn="0"/>
            <w:tcW w:w="1071" w:type="dxa"/>
          </w:tcPr>
          <w:p w14:paraId="35744316"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bCs w:val="0"/>
              </w:rPr>
            </w:pPr>
            <w:r w:rsidRPr="00875EB0">
              <w:rPr>
                <w:rFonts w:asciiTheme="minorHAnsi" w:eastAsia="PMingLiU" w:hAnsiTheme="minorHAnsi" w:cstheme="minorHAnsi"/>
              </w:rPr>
              <w:t>8a</w:t>
            </w:r>
          </w:p>
        </w:tc>
        <w:tc>
          <w:tcPr>
            <w:tcW w:w="2965" w:type="dxa"/>
          </w:tcPr>
          <w:p w14:paraId="483E72F1" w14:textId="77777777" w:rsidR="00F01795" w:rsidRPr="00875EB0" w:rsidRDefault="00F01795" w:rsidP="008150A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5EB0">
              <w:rPr>
                <w:rFonts w:asciiTheme="minorHAnsi" w:hAnsiTheme="minorHAnsi" w:cstheme="minorHAnsi"/>
              </w:rPr>
              <w:t>Average current serious penalty in private sector</w:t>
            </w:r>
          </w:p>
          <w:p w14:paraId="1ECC5A20"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5EB0">
              <w:rPr>
                <w:rFonts w:asciiTheme="minorHAnsi" w:hAnsiTheme="minorHAnsi" w:cstheme="minorHAnsi"/>
              </w:rPr>
              <w:t xml:space="preserve"> (1-25 workers)</w:t>
            </w:r>
          </w:p>
        </w:tc>
        <w:tc>
          <w:tcPr>
            <w:tcW w:w="1323" w:type="dxa"/>
          </w:tcPr>
          <w:p w14:paraId="20AA378C"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eastAsia="PMingLiU" w:hAnsiTheme="minorHAnsi" w:cstheme="minorHAnsi"/>
              </w:rPr>
              <w:t>$1,989.00</w:t>
            </w:r>
          </w:p>
        </w:tc>
        <w:tc>
          <w:tcPr>
            <w:tcW w:w="1503" w:type="dxa"/>
          </w:tcPr>
          <w:p w14:paraId="3D21B8FF" w14:textId="77777777" w:rsidR="00F01795" w:rsidRPr="00875EB0" w:rsidRDefault="00F01795" w:rsidP="008150A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5EB0">
              <w:rPr>
                <w:rFonts w:asciiTheme="minorHAnsi" w:hAnsiTheme="minorHAnsi" w:cstheme="minorHAnsi"/>
              </w:rPr>
              <w:t xml:space="preserve">+/- 25% of </w:t>
            </w:r>
          </w:p>
          <w:p w14:paraId="51C2DEE2" w14:textId="77777777" w:rsidR="00F01795" w:rsidRPr="00875EB0" w:rsidRDefault="00F01795" w:rsidP="008150A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5EB0">
              <w:rPr>
                <w:rFonts w:asciiTheme="minorHAnsi" w:hAnsiTheme="minorHAnsi" w:cstheme="minorHAnsi"/>
              </w:rPr>
              <w:t>$2,348.03</w:t>
            </w:r>
          </w:p>
          <w:p w14:paraId="3BED728C"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118" w:type="dxa"/>
          </w:tcPr>
          <w:p w14:paraId="1F5034A9"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hAnsiTheme="minorHAnsi" w:cstheme="minorHAnsi"/>
              </w:rPr>
              <w:t>The further review level is based on a three-year national average.  The range of acceptable data not requiring further review is from $1,761.02 to $2,935.04.</w:t>
            </w:r>
          </w:p>
        </w:tc>
      </w:tr>
      <w:tr w:rsidR="00F01795" w:rsidRPr="00875EB0" w14:paraId="5CCBBEFC" w14:textId="77777777" w:rsidTr="00AB3B47">
        <w:trPr>
          <w:cantSplit/>
        </w:trPr>
        <w:tc>
          <w:tcPr>
            <w:cnfStyle w:val="001000000000" w:firstRow="0" w:lastRow="0" w:firstColumn="1" w:lastColumn="0" w:oddVBand="0" w:evenVBand="0" w:oddHBand="0" w:evenHBand="0" w:firstRowFirstColumn="0" w:firstRowLastColumn="0" w:lastRowFirstColumn="0" w:lastRowLastColumn="0"/>
            <w:tcW w:w="1071" w:type="dxa"/>
          </w:tcPr>
          <w:p w14:paraId="37D18112"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875EB0">
              <w:rPr>
                <w:rFonts w:asciiTheme="minorHAnsi" w:eastAsia="PMingLiU" w:hAnsiTheme="minorHAnsi" w:cstheme="minorHAnsi"/>
              </w:rPr>
              <w:t>8b</w:t>
            </w:r>
          </w:p>
        </w:tc>
        <w:tc>
          <w:tcPr>
            <w:tcW w:w="2965" w:type="dxa"/>
          </w:tcPr>
          <w:p w14:paraId="7B5151EC" w14:textId="77777777" w:rsidR="00F01795" w:rsidRPr="00875EB0" w:rsidRDefault="00F01795" w:rsidP="008150A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5EB0">
              <w:rPr>
                <w:rFonts w:asciiTheme="minorHAnsi" w:hAnsiTheme="minorHAnsi" w:cstheme="minorHAnsi"/>
              </w:rPr>
              <w:t xml:space="preserve">Average current serious penalty in private sector </w:t>
            </w:r>
          </w:p>
          <w:p w14:paraId="79C0C863"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5EB0">
              <w:rPr>
                <w:rFonts w:asciiTheme="minorHAnsi" w:hAnsiTheme="minorHAnsi" w:cstheme="minorHAnsi"/>
              </w:rPr>
              <w:t>(26-100 workers</w:t>
            </w:r>
            <w:r w:rsidRPr="00875EB0">
              <w:rPr>
                <w:rFonts w:asciiTheme="minorHAnsi" w:hAnsiTheme="minorHAnsi" w:cstheme="minorHAnsi"/>
                <w:b/>
              </w:rPr>
              <w:t>)</w:t>
            </w:r>
          </w:p>
        </w:tc>
        <w:tc>
          <w:tcPr>
            <w:tcW w:w="1323" w:type="dxa"/>
          </w:tcPr>
          <w:p w14:paraId="73D46F54"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eastAsia="PMingLiU" w:hAnsiTheme="minorHAnsi" w:cstheme="minorHAnsi"/>
              </w:rPr>
              <w:t>$3,615.02</w:t>
            </w:r>
          </w:p>
        </w:tc>
        <w:tc>
          <w:tcPr>
            <w:tcW w:w="1503" w:type="dxa"/>
          </w:tcPr>
          <w:p w14:paraId="37BFE2FA" w14:textId="77777777" w:rsidR="00F01795" w:rsidRPr="00875EB0" w:rsidRDefault="00F01795" w:rsidP="008150A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5EB0">
              <w:rPr>
                <w:rFonts w:asciiTheme="minorHAnsi" w:hAnsiTheme="minorHAnsi" w:cstheme="minorHAnsi"/>
              </w:rPr>
              <w:t xml:space="preserve">+/- 25% of </w:t>
            </w:r>
          </w:p>
          <w:p w14:paraId="5773553B" w14:textId="77777777" w:rsidR="00F01795" w:rsidRPr="00875EB0" w:rsidRDefault="00F01795" w:rsidP="008150A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5EB0">
              <w:rPr>
                <w:rFonts w:asciiTheme="minorHAnsi" w:hAnsiTheme="minorHAnsi" w:cstheme="minorHAnsi"/>
              </w:rPr>
              <w:t>$4,167.28</w:t>
            </w:r>
          </w:p>
          <w:p w14:paraId="7E998C0D"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118" w:type="dxa"/>
          </w:tcPr>
          <w:p w14:paraId="639EC3D5"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hAnsiTheme="minorHAnsi" w:cstheme="minorHAnsi"/>
              </w:rPr>
              <w:t>The further review level is based on a three-year national average.  The range of acceptable data not requiring further review is from $3,125.46 to $5,209.10.</w:t>
            </w:r>
          </w:p>
        </w:tc>
      </w:tr>
      <w:tr w:rsidR="00F01795" w:rsidRPr="00875EB0" w14:paraId="275BE281" w14:textId="77777777" w:rsidTr="00AB3B47">
        <w:trPr>
          <w:cantSplit/>
        </w:trPr>
        <w:tc>
          <w:tcPr>
            <w:cnfStyle w:val="001000000000" w:firstRow="0" w:lastRow="0" w:firstColumn="1" w:lastColumn="0" w:oddVBand="0" w:evenVBand="0" w:oddHBand="0" w:evenHBand="0" w:firstRowFirstColumn="0" w:firstRowLastColumn="0" w:lastRowFirstColumn="0" w:lastRowLastColumn="0"/>
            <w:tcW w:w="1071" w:type="dxa"/>
          </w:tcPr>
          <w:p w14:paraId="0F6AA603"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875EB0">
              <w:rPr>
                <w:rFonts w:asciiTheme="minorHAnsi" w:eastAsia="PMingLiU" w:hAnsiTheme="minorHAnsi" w:cstheme="minorHAnsi"/>
              </w:rPr>
              <w:t>8c</w:t>
            </w:r>
          </w:p>
        </w:tc>
        <w:tc>
          <w:tcPr>
            <w:tcW w:w="2965" w:type="dxa"/>
          </w:tcPr>
          <w:p w14:paraId="096F7A1D" w14:textId="77777777" w:rsidR="00F01795" w:rsidRPr="00875EB0" w:rsidRDefault="00F01795" w:rsidP="008150A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5EB0">
              <w:rPr>
                <w:rFonts w:asciiTheme="minorHAnsi" w:hAnsiTheme="minorHAnsi" w:cstheme="minorHAnsi"/>
              </w:rPr>
              <w:t>Average current serious penalty in private sector</w:t>
            </w:r>
          </w:p>
          <w:p w14:paraId="14AC66C8"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5EB0">
              <w:rPr>
                <w:rFonts w:asciiTheme="minorHAnsi" w:hAnsiTheme="minorHAnsi" w:cstheme="minorHAnsi"/>
              </w:rPr>
              <w:t>(101-250 workers)</w:t>
            </w:r>
          </w:p>
        </w:tc>
        <w:tc>
          <w:tcPr>
            <w:tcW w:w="1323" w:type="dxa"/>
          </w:tcPr>
          <w:p w14:paraId="34EFBBA2"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eastAsia="PMingLiU" w:hAnsiTheme="minorHAnsi" w:cstheme="minorHAnsi"/>
              </w:rPr>
              <w:t>$5,942.13</w:t>
            </w:r>
          </w:p>
        </w:tc>
        <w:tc>
          <w:tcPr>
            <w:tcW w:w="1503" w:type="dxa"/>
          </w:tcPr>
          <w:p w14:paraId="6BFDF96F" w14:textId="77777777" w:rsidR="00F01795" w:rsidRPr="00875EB0" w:rsidRDefault="00F01795" w:rsidP="008150A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5EB0">
              <w:rPr>
                <w:rFonts w:asciiTheme="minorHAnsi" w:hAnsiTheme="minorHAnsi" w:cstheme="minorHAnsi"/>
              </w:rPr>
              <w:t xml:space="preserve">+/- 25% of </w:t>
            </w:r>
          </w:p>
          <w:p w14:paraId="09571163" w14:textId="77777777" w:rsidR="00F01795" w:rsidRPr="00875EB0" w:rsidRDefault="00F01795" w:rsidP="008150A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5EB0">
              <w:rPr>
                <w:rFonts w:asciiTheme="minorHAnsi" w:hAnsiTheme="minorHAnsi" w:cstheme="minorHAnsi"/>
              </w:rPr>
              <w:t>$6,052.04</w:t>
            </w:r>
          </w:p>
          <w:p w14:paraId="6C42B264"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118" w:type="dxa"/>
          </w:tcPr>
          <w:p w14:paraId="55C2A5B5"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hAnsiTheme="minorHAnsi" w:cstheme="minorHAnsi"/>
              </w:rPr>
              <w:t>The further review level is based on a three-year national average.  The range of acceptable data not requiring further review is from $4,539.03 to $7,565.05.</w:t>
            </w:r>
          </w:p>
        </w:tc>
      </w:tr>
      <w:tr w:rsidR="00F01795" w:rsidRPr="00875EB0" w14:paraId="2FB3CC93" w14:textId="77777777" w:rsidTr="00AB3B47">
        <w:trPr>
          <w:cantSplit/>
        </w:trPr>
        <w:tc>
          <w:tcPr>
            <w:cnfStyle w:val="001000000000" w:firstRow="0" w:lastRow="0" w:firstColumn="1" w:lastColumn="0" w:oddVBand="0" w:evenVBand="0" w:oddHBand="0" w:evenHBand="0" w:firstRowFirstColumn="0" w:firstRowLastColumn="0" w:lastRowFirstColumn="0" w:lastRowLastColumn="0"/>
            <w:tcW w:w="1071" w:type="dxa"/>
          </w:tcPr>
          <w:p w14:paraId="0B0D28DD"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875EB0">
              <w:rPr>
                <w:rFonts w:asciiTheme="minorHAnsi" w:eastAsia="PMingLiU" w:hAnsiTheme="minorHAnsi" w:cstheme="minorHAnsi"/>
              </w:rPr>
              <w:lastRenderedPageBreak/>
              <w:t>8d</w:t>
            </w:r>
          </w:p>
        </w:tc>
        <w:tc>
          <w:tcPr>
            <w:tcW w:w="2965" w:type="dxa"/>
          </w:tcPr>
          <w:p w14:paraId="12E54A07" w14:textId="77777777" w:rsidR="00F01795" w:rsidRPr="00875EB0" w:rsidRDefault="00F01795" w:rsidP="008150A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5EB0">
              <w:rPr>
                <w:rFonts w:asciiTheme="minorHAnsi" w:hAnsiTheme="minorHAnsi" w:cstheme="minorHAnsi"/>
              </w:rPr>
              <w:t>Average current serious penalty in private sector</w:t>
            </w:r>
          </w:p>
          <w:p w14:paraId="0155BAAD"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5EB0">
              <w:rPr>
                <w:rFonts w:asciiTheme="minorHAnsi" w:hAnsiTheme="minorHAnsi" w:cstheme="minorHAnsi"/>
              </w:rPr>
              <w:t>(greater than 250 workers)</w:t>
            </w:r>
          </w:p>
        </w:tc>
        <w:tc>
          <w:tcPr>
            <w:tcW w:w="1323" w:type="dxa"/>
          </w:tcPr>
          <w:p w14:paraId="50E720F0"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eastAsia="PMingLiU" w:hAnsiTheme="minorHAnsi" w:cstheme="minorHAnsi"/>
              </w:rPr>
              <w:t>$9,663.12</w:t>
            </w:r>
          </w:p>
        </w:tc>
        <w:tc>
          <w:tcPr>
            <w:tcW w:w="1503" w:type="dxa"/>
          </w:tcPr>
          <w:p w14:paraId="4DE789D4" w14:textId="77777777" w:rsidR="00F01795" w:rsidRPr="00875EB0" w:rsidRDefault="00F01795" w:rsidP="008150A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5EB0">
              <w:rPr>
                <w:rFonts w:asciiTheme="minorHAnsi" w:hAnsiTheme="minorHAnsi" w:cstheme="minorHAnsi"/>
              </w:rPr>
              <w:t xml:space="preserve">+/- 25% of </w:t>
            </w:r>
          </w:p>
          <w:p w14:paraId="469F6BDF" w14:textId="77777777" w:rsidR="00F01795" w:rsidRPr="00875EB0" w:rsidRDefault="00F01795" w:rsidP="008150A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5EB0">
              <w:rPr>
                <w:rFonts w:asciiTheme="minorHAnsi" w:hAnsiTheme="minorHAnsi" w:cstheme="minorHAnsi"/>
              </w:rPr>
              <w:t>$7,331.41</w:t>
            </w:r>
          </w:p>
          <w:p w14:paraId="6CFA2C64"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118" w:type="dxa"/>
          </w:tcPr>
          <w:p w14:paraId="5485E520"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hAnsiTheme="minorHAnsi" w:cstheme="minorHAnsi"/>
              </w:rPr>
              <w:t>The further review level is based on a three-year national average.  The range of acceptable data not requiring further review is from $5,498.56 to $9,164.26.</w:t>
            </w:r>
          </w:p>
        </w:tc>
      </w:tr>
      <w:tr w:rsidR="00F01795" w:rsidRPr="00875EB0" w14:paraId="594A5451" w14:textId="77777777" w:rsidTr="00AB3B47">
        <w:trPr>
          <w:cantSplit/>
        </w:trPr>
        <w:tc>
          <w:tcPr>
            <w:cnfStyle w:val="001000000000" w:firstRow="0" w:lastRow="0" w:firstColumn="1" w:lastColumn="0" w:oddVBand="0" w:evenVBand="0" w:oddHBand="0" w:evenHBand="0" w:firstRowFirstColumn="0" w:firstRowLastColumn="0" w:lastRowFirstColumn="0" w:lastRowLastColumn="0"/>
            <w:tcW w:w="1071" w:type="dxa"/>
          </w:tcPr>
          <w:p w14:paraId="1FBBF5FA"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875EB0">
              <w:rPr>
                <w:rFonts w:asciiTheme="minorHAnsi" w:eastAsia="PMingLiU" w:hAnsiTheme="minorHAnsi" w:cstheme="minorHAnsi"/>
              </w:rPr>
              <w:t>9a</w:t>
            </w:r>
          </w:p>
        </w:tc>
        <w:tc>
          <w:tcPr>
            <w:tcW w:w="2965" w:type="dxa"/>
          </w:tcPr>
          <w:p w14:paraId="08D831BE"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5EB0">
              <w:rPr>
                <w:rFonts w:asciiTheme="minorHAnsi" w:hAnsiTheme="minorHAnsi" w:cstheme="minorHAnsi"/>
              </w:rPr>
              <w:t>Percent in compliance (safety)</w:t>
            </w:r>
          </w:p>
        </w:tc>
        <w:tc>
          <w:tcPr>
            <w:tcW w:w="1323" w:type="dxa"/>
          </w:tcPr>
          <w:p w14:paraId="68F90928"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eastAsia="PMingLiU" w:hAnsiTheme="minorHAnsi" w:cstheme="minorHAnsi"/>
              </w:rPr>
              <w:t>32.49%</w:t>
            </w:r>
          </w:p>
        </w:tc>
        <w:tc>
          <w:tcPr>
            <w:tcW w:w="1503" w:type="dxa"/>
          </w:tcPr>
          <w:p w14:paraId="34E13A25" w14:textId="77777777" w:rsidR="00F01795" w:rsidRPr="00875EB0" w:rsidRDefault="00F01795" w:rsidP="008150A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5EB0">
              <w:rPr>
                <w:rFonts w:asciiTheme="minorHAnsi" w:hAnsiTheme="minorHAnsi" w:cstheme="minorHAnsi"/>
              </w:rPr>
              <w:t>+/- 20% of</w:t>
            </w:r>
          </w:p>
          <w:p w14:paraId="3F806586"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hAnsiTheme="minorHAnsi" w:cstheme="minorHAnsi"/>
              </w:rPr>
              <w:t>31.73%</w:t>
            </w:r>
          </w:p>
        </w:tc>
        <w:tc>
          <w:tcPr>
            <w:tcW w:w="4118" w:type="dxa"/>
          </w:tcPr>
          <w:p w14:paraId="3BC3957B"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hAnsiTheme="minorHAnsi" w:cstheme="minorHAnsi"/>
              </w:rPr>
              <w:t>The further review level is based on a three-year national average.  The range of acceptable data not requiring further review is from 25.38% to 38.08% for safety.</w:t>
            </w:r>
          </w:p>
        </w:tc>
      </w:tr>
      <w:tr w:rsidR="00F01795" w:rsidRPr="00875EB0" w14:paraId="62470628" w14:textId="77777777" w:rsidTr="00AB3B47">
        <w:trPr>
          <w:cantSplit/>
        </w:trPr>
        <w:tc>
          <w:tcPr>
            <w:cnfStyle w:val="001000000000" w:firstRow="0" w:lastRow="0" w:firstColumn="1" w:lastColumn="0" w:oddVBand="0" w:evenVBand="0" w:oddHBand="0" w:evenHBand="0" w:firstRowFirstColumn="0" w:firstRowLastColumn="0" w:lastRowFirstColumn="0" w:lastRowLastColumn="0"/>
            <w:tcW w:w="1071" w:type="dxa"/>
          </w:tcPr>
          <w:p w14:paraId="13918FF4"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875EB0">
              <w:rPr>
                <w:rFonts w:asciiTheme="minorHAnsi" w:eastAsia="PMingLiU" w:hAnsiTheme="minorHAnsi" w:cstheme="minorHAnsi"/>
              </w:rPr>
              <w:t>9b</w:t>
            </w:r>
          </w:p>
        </w:tc>
        <w:tc>
          <w:tcPr>
            <w:tcW w:w="2965" w:type="dxa"/>
          </w:tcPr>
          <w:p w14:paraId="524C4607"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5EB0">
              <w:rPr>
                <w:rFonts w:asciiTheme="minorHAnsi" w:hAnsiTheme="minorHAnsi" w:cstheme="minorHAnsi"/>
              </w:rPr>
              <w:t>Percent in compliance (health)</w:t>
            </w:r>
          </w:p>
        </w:tc>
        <w:tc>
          <w:tcPr>
            <w:tcW w:w="1323" w:type="dxa"/>
          </w:tcPr>
          <w:p w14:paraId="532751D5"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eastAsia="PMingLiU" w:hAnsiTheme="minorHAnsi" w:cstheme="minorHAnsi"/>
              </w:rPr>
              <w:t>35.78%</w:t>
            </w:r>
          </w:p>
        </w:tc>
        <w:tc>
          <w:tcPr>
            <w:tcW w:w="1503" w:type="dxa"/>
          </w:tcPr>
          <w:p w14:paraId="267B49AC" w14:textId="77777777" w:rsidR="00F01795" w:rsidRPr="00875EB0" w:rsidRDefault="00F01795" w:rsidP="008150A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5EB0">
              <w:rPr>
                <w:rFonts w:asciiTheme="minorHAnsi" w:hAnsiTheme="minorHAnsi" w:cstheme="minorHAnsi"/>
              </w:rPr>
              <w:t>+/- 20% of</w:t>
            </w:r>
          </w:p>
          <w:p w14:paraId="62C61789"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hAnsiTheme="minorHAnsi" w:cstheme="minorHAnsi"/>
              </w:rPr>
              <w:t>43.82%</w:t>
            </w:r>
          </w:p>
        </w:tc>
        <w:tc>
          <w:tcPr>
            <w:tcW w:w="4118" w:type="dxa"/>
          </w:tcPr>
          <w:p w14:paraId="6481CA9E"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hAnsiTheme="minorHAnsi" w:cstheme="minorHAnsi"/>
              </w:rPr>
              <w:t>The further review level is based on a three-year national average.  The range of acceptable data not requiring further review is from 35.06% to 52.58% for health.</w:t>
            </w:r>
          </w:p>
        </w:tc>
      </w:tr>
      <w:tr w:rsidR="00F01795" w:rsidRPr="00875EB0" w14:paraId="403C1AD3" w14:textId="77777777" w:rsidTr="00AB3B47">
        <w:tc>
          <w:tcPr>
            <w:cnfStyle w:val="001000000000" w:firstRow="0" w:lastRow="0" w:firstColumn="1" w:lastColumn="0" w:oddVBand="0" w:evenVBand="0" w:oddHBand="0" w:evenHBand="0" w:firstRowFirstColumn="0" w:firstRowLastColumn="0" w:lastRowFirstColumn="0" w:lastRowLastColumn="0"/>
            <w:tcW w:w="1071" w:type="dxa"/>
          </w:tcPr>
          <w:p w14:paraId="59C428E9"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875EB0">
              <w:rPr>
                <w:rFonts w:asciiTheme="minorHAnsi" w:eastAsia="PMingLiU" w:hAnsiTheme="minorHAnsi" w:cstheme="minorHAnsi"/>
              </w:rPr>
              <w:t>10</w:t>
            </w:r>
          </w:p>
        </w:tc>
        <w:tc>
          <w:tcPr>
            <w:tcW w:w="2965" w:type="dxa"/>
          </w:tcPr>
          <w:p w14:paraId="55626090"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5EB0">
              <w:rPr>
                <w:rFonts w:asciiTheme="minorHAnsi" w:hAnsiTheme="minorHAnsi" w:cstheme="minorHAnsi"/>
              </w:rPr>
              <w:t>Percent of work-related fatalities responded to in one workday</w:t>
            </w:r>
          </w:p>
        </w:tc>
        <w:tc>
          <w:tcPr>
            <w:tcW w:w="1323" w:type="dxa"/>
          </w:tcPr>
          <w:p w14:paraId="3A1F600F"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eastAsia="PMingLiU" w:hAnsiTheme="minorHAnsi" w:cstheme="minorHAnsi"/>
              </w:rPr>
              <w:t>100%</w:t>
            </w:r>
          </w:p>
        </w:tc>
        <w:tc>
          <w:tcPr>
            <w:tcW w:w="1503" w:type="dxa"/>
          </w:tcPr>
          <w:p w14:paraId="60B500EE"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eastAsia="PMingLiU" w:hAnsiTheme="minorHAnsi" w:cstheme="minorHAnsi"/>
              </w:rPr>
              <w:t>100%</w:t>
            </w:r>
          </w:p>
        </w:tc>
        <w:tc>
          <w:tcPr>
            <w:tcW w:w="4118" w:type="dxa"/>
          </w:tcPr>
          <w:p w14:paraId="1AF1905E"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hAnsiTheme="minorHAnsi" w:cstheme="minorHAnsi"/>
              </w:rPr>
              <w:t>The further review level is fixed for all State Plans.</w:t>
            </w:r>
          </w:p>
        </w:tc>
      </w:tr>
      <w:tr w:rsidR="00F01795" w:rsidRPr="00875EB0" w14:paraId="4BC1764D" w14:textId="77777777" w:rsidTr="00AB3B47">
        <w:tc>
          <w:tcPr>
            <w:cnfStyle w:val="001000000000" w:firstRow="0" w:lastRow="0" w:firstColumn="1" w:lastColumn="0" w:oddVBand="0" w:evenVBand="0" w:oddHBand="0" w:evenHBand="0" w:firstRowFirstColumn="0" w:firstRowLastColumn="0" w:lastRowFirstColumn="0" w:lastRowLastColumn="0"/>
            <w:tcW w:w="1071" w:type="dxa"/>
          </w:tcPr>
          <w:p w14:paraId="5CDDDEBA"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875EB0">
              <w:rPr>
                <w:rFonts w:asciiTheme="minorHAnsi" w:eastAsia="PMingLiU" w:hAnsiTheme="minorHAnsi" w:cstheme="minorHAnsi"/>
              </w:rPr>
              <w:t>11a</w:t>
            </w:r>
          </w:p>
        </w:tc>
        <w:tc>
          <w:tcPr>
            <w:tcW w:w="2965" w:type="dxa"/>
          </w:tcPr>
          <w:p w14:paraId="46B669C0"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5EB0">
              <w:rPr>
                <w:rFonts w:asciiTheme="minorHAnsi" w:hAnsiTheme="minorHAnsi" w:cstheme="minorHAnsi"/>
              </w:rPr>
              <w:t>Average lapse time (safety)</w:t>
            </w:r>
          </w:p>
        </w:tc>
        <w:tc>
          <w:tcPr>
            <w:tcW w:w="1323" w:type="dxa"/>
          </w:tcPr>
          <w:p w14:paraId="5F03BEF8"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eastAsia="PMingLiU" w:hAnsiTheme="minorHAnsi" w:cstheme="minorHAnsi"/>
              </w:rPr>
              <w:t>53.23</w:t>
            </w:r>
          </w:p>
        </w:tc>
        <w:tc>
          <w:tcPr>
            <w:tcW w:w="1503" w:type="dxa"/>
          </w:tcPr>
          <w:p w14:paraId="2DC2103A" w14:textId="77777777" w:rsidR="00F01795" w:rsidRPr="00875EB0" w:rsidRDefault="00F01795" w:rsidP="008150A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5EB0">
              <w:rPr>
                <w:rFonts w:asciiTheme="minorHAnsi" w:hAnsiTheme="minorHAnsi" w:cstheme="minorHAnsi"/>
              </w:rPr>
              <w:t>+/- 20% of 55.23</w:t>
            </w:r>
          </w:p>
          <w:p w14:paraId="08F55CA3"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118" w:type="dxa"/>
          </w:tcPr>
          <w:p w14:paraId="47EF8B57"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5EB0">
              <w:rPr>
                <w:rFonts w:asciiTheme="minorHAnsi" w:hAnsiTheme="minorHAnsi" w:cstheme="minorHAnsi"/>
              </w:rPr>
              <w:t>The further review level is based on a three-year national average.  The range of acceptable data not requiring further review is from 44.18 to 66.28 for safety.</w:t>
            </w:r>
          </w:p>
        </w:tc>
      </w:tr>
      <w:tr w:rsidR="00F01795" w:rsidRPr="00875EB0" w14:paraId="6C686F61" w14:textId="77777777" w:rsidTr="00AB3B47">
        <w:tc>
          <w:tcPr>
            <w:cnfStyle w:val="001000000000" w:firstRow="0" w:lastRow="0" w:firstColumn="1" w:lastColumn="0" w:oddVBand="0" w:evenVBand="0" w:oddHBand="0" w:evenHBand="0" w:firstRowFirstColumn="0" w:firstRowLastColumn="0" w:lastRowFirstColumn="0" w:lastRowLastColumn="0"/>
            <w:tcW w:w="1071" w:type="dxa"/>
          </w:tcPr>
          <w:p w14:paraId="57E43ED0"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875EB0">
              <w:rPr>
                <w:rFonts w:asciiTheme="minorHAnsi" w:eastAsia="PMingLiU" w:hAnsiTheme="minorHAnsi" w:cstheme="minorHAnsi"/>
              </w:rPr>
              <w:t>11b</w:t>
            </w:r>
          </w:p>
        </w:tc>
        <w:tc>
          <w:tcPr>
            <w:tcW w:w="2965" w:type="dxa"/>
          </w:tcPr>
          <w:p w14:paraId="6A4A9F68"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5EB0">
              <w:rPr>
                <w:rFonts w:asciiTheme="minorHAnsi" w:hAnsiTheme="minorHAnsi" w:cstheme="minorHAnsi"/>
              </w:rPr>
              <w:t>Average lapse time (health)</w:t>
            </w:r>
          </w:p>
        </w:tc>
        <w:tc>
          <w:tcPr>
            <w:tcW w:w="1323" w:type="dxa"/>
          </w:tcPr>
          <w:p w14:paraId="4BD23D8F"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eastAsia="PMingLiU" w:hAnsiTheme="minorHAnsi" w:cstheme="minorHAnsi"/>
              </w:rPr>
              <w:t>56.38</w:t>
            </w:r>
          </w:p>
        </w:tc>
        <w:tc>
          <w:tcPr>
            <w:tcW w:w="1503" w:type="dxa"/>
          </w:tcPr>
          <w:p w14:paraId="5B907C8D" w14:textId="77777777" w:rsidR="00F01795" w:rsidRPr="00875EB0" w:rsidRDefault="00F01795" w:rsidP="008150A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5EB0">
              <w:rPr>
                <w:rFonts w:asciiTheme="minorHAnsi" w:hAnsiTheme="minorHAnsi" w:cstheme="minorHAnsi"/>
              </w:rPr>
              <w:t>+/- 20% of 69.72</w:t>
            </w:r>
          </w:p>
          <w:p w14:paraId="510712C0"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118" w:type="dxa"/>
          </w:tcPr>
          <w:p w14:paraId="17672E50"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hAnsiTheme="minorHAnsi" w:cstheme="minorHAnsi"/>
              </w:rPr>
              <w:t>The further review level is based on a three-year national average.  The range of acceptable data not requiring further review is from 55.78 to 83.66 for health.</w:t>
            </w:r>
          </w:p>
        </w:tc>
      </w:tr>
      <w:tr w:rsidR="00F01795" w:rsidRPr="00875EB0" w14:paraId="74FFB905" w14:textId="77777777" w:rsidTr="00AB3B47">
        <w:tc>
          <w:tcPr>
            <w:cnfStyle w:val="001000000000" w:firstRow="0" w:lastRow="0" w:firstColumn="1" w:lastColumn="0" w:oddVBand="0" w:evenVBand="0" w:oddHBand="0" w:evenHBand="0" w:firstRowFirstColumn="0" w:firstRowLastColumn="0" w:lastRowFirstColumn="0" w:lastRowLastColumn="0"/>
            <w:tcW w:w="1071" w:type="dxa"/>
          </w:tcPr>
          <w:p w14:paraId="7D85BE8A"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875EB0">
              <w:rPr>
                <w:rFonts w:asciiTheme="minorHAnsi" w:eastAsia="PMingLiU" w:hAnsiTheme="minorHAnsi" w:cstheme="minorHAnsi"/>
              </w:rPr>
              <w:t>12</w:t>
            </w:r>
          </w:p>
        </w:tc>
        <w:tc>
          <w:tcPr>
            <w:tcW w:w="2965" w:type="dxa"/>
          </w:tcPr>
          <w:p w14:paraId="0EEBC054"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5EB0">
              <w:rPr>
                <w:rFonts w:asciiTheme="minorHAnsi" w:hAnsiTheme="minorHAnsi" w:cstheme="minorHAnsi"/>
              </w:rPr>
              <w:t>Percent penalty retained</w:t>
            </w:r>
          </w:p>
        </w:tc>
        <w:tc>
          <w:tcPr>
            <w:tcW w:w="1323" w:type="dxa"/>
          </w:tcPr>
          <w:p w14:paraId="053E044D"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hAnsiTheme="minorHAnsi" w:cstheme="minorHAnsi"/>
              </w:rPr>
              <w:t>81.59%</w:t>
            </w:r>
          </w:p>
        </w:tc>
        <w:tc>
          <w:tcPr>
            <w:tcW w:w="1503" w:type="dxa"/>
          </w:tcPr>
          <w:p w14:paraId="3737B0C6" w14:textId="77777777" w:rsidR="00F01795" w:rsidRPr="00875EB0" w:rsidRDefault="00F01795" w:rsidP="008150A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5EB0">
              <w:rPr>
                <w:rFonts w:asciiTheme="minorHAnsi" w:hAnsiTheme="minorHAnsi" w:cstheme="minorHAnsi"/>
              </w:rPr>
              <w:t>+/- 15% of</w:t>
            </w:r>
          </w:p>
          <w:p w14:paraId="6E857B9C"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hAnsiTheme="minorHAnsi" w:cstheme="minorHAnsi"/>
              </w:rPr>
              <w:t>71.84%</w:t>
            </w:r>
          </w:p>
        </w:tc>
        <w:tc>
          <w:tcPr>
            <w:tcW w:w="4118" w:type="dxa"/>
          </w:tcPr>
          <w:p w14:paraId="11E40E27"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hAnsiTheme="minorHAnsi" w:cstheme="minorHAnsi"/>
              </w:rPr>
              <w:t>The further review level is based on a three-year national average.  The range of acceptable data not requiring further review is from 61.06% to 82.62%.</w:t>
            </w:r>
          </w:p>
        </w:tc>
      </w:tr>
      <w:tr w:rsidR="00F01795" w:rsidRPr="00875EB0" w14:paraId="5164C049" w14:textId="77777777" w:rsidTr="00AB3B47">
        <w:tc>
          <w:tcPr>
            <w:cnfStyle w:val="001000000000" w:firstRow="0" w:lastRow="0" w:firstColumn="1" w:lastColumn="0" w:oddVBand="0" w:evenVBand="0" w:oddHBand="0" w:evenHBand="0" w:firstRowFirstColumn="0" w:firstRowLastColumn="0" w:lastRowFirstColumn="0" w:lastRowLastColumn="0"/>
            <w:tcW w:w="1071" w:type="dxa"/>
          </w:tcPr>
          <w:p w14:paraId="1169E044"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875EB0">
              <w:rPr>
                <w:rFonts w:asciiTheme="minorHAnsi" w:eastAsia="PMingLiU" w:hAnsiTheme="minorHAnsi" w:cstheme="minorHAnsi"/>
              </w:rPr>
              <w:t>13</w:t>
            </w:r>
          </w:p>
        </w:tc>
        <w:tc>
          <w:tcPr>
            <w:tcW w:w="2965" w:type="dxa"/>
          </w:tcPr>
          <w:p w14:paraId="25CD5677"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5EB0">
              <w:rPr>
                <w:rFonts w:asciiTheme="minorHAnsi" w:hAnsiTheme="minorHAnsi" w:cstheme="minorHAnsi"/>
              </w:rPr>
              <w:t>Percent of initial inspections with worker walk-around representation or worker interview</w:t>
            </w:r>
          </w:p>
        </w:tc>
        <w:tc>
          <w:tcPr>
            <w:tcW w:w="1323" w:type="dxa"/>
          </w:tcPr>
          <w:p w14:paraId="517ACAD4"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hAnsiTheme="minorHAnsi" w:cstheme="minorHAnsi"/>
              </w:rPr>
              <w:t>100%</w:t>
            </w:r>
          </w:p>
        </w:tc>
        <w:tc>
          <w:tcPr>
            <w:tcW w:w="1503" w:type="dxa"/>
          </w:tcPr>
          <w:p w14:paraId="6EC3F84F"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hAnsiTheme="minorHAnsi" w:cstheme="minorHAnsi"/>
              </w:rPr>
              <w:t>100%</w:t>
            </w:r>
          </w:p>
        </w:tc>
        <w:tc>
          <w:tcPr>
            <w:tcW w:w="4118" w:type="dxa"/>
          </w:tcPr>
          <w:p w14:paraId="6F19F1F9"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hAnsiTheme="minorHAnsi" w:cstheme="minorHAnsi"/>
              </w:rPr>
              <w:t>The further review level is fixed for all State Plans.</w:t>
            </w:r>
          </w:p>
        </w:tc>
      </w:tr>
      <w:tr w:rsidR="00F01795" w:rsidRPr="00875EB0" w14:paraId="3833041C" w14:textId="77777777" w:rsidTr="00AB3B47">
        <w:tc>
          <w:tcPr>
            <w:cnfStyle w:val="001000000000" w:firstRow="0" w:lastRow="0" w:firstColumn="1" w:lastColumn="0" w:oddVBand="0" w:evenVBand="0" w:oddHBand="0" w:evenHBand="0" w:firstRowFirstColumn="0" w:firstRowLastColumn="0" w:lastRowFirstColumn="0" w:lastRowLastColumn="0"/>
            <w:tcW w:w="1071" w:type="dxa"/>
          </w:tcPr>
          <w:p w14:paraId="2131A0D7"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875EB0">
              <w:rPr>
                <w:rFonts w:asciiTheme="minorHAnsi" w:eastAsia="PMingLiU" w:hAnsiTheme="minorHAnsi" w:cstheme="minorHAnsi"/>
              </w:rPr>
              <w:t>14</w:t>
            </w:r>
          </w:p>
        </w:tc>
        <w:tc>
          <w:tcPr>
            <w:tcW w:w="2965" w:type="dxa"/>
          </w:tcPr>
          <w:p w14:paraId="07F4164D"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5EB0">
              <w:rPr>
                <w:rFonts w:asciiTheme="minorHAnsi" w:hAnsiTheme="minorHAnsi" w:cstheme="minorHAnsi"/>
              </w:rPr>
              <w:t xml:space="preserve">Percent of 11(c) investigations completed </w:t>
            </w:r>
            <w:r w:rsidRPr="00875EB0">
              <w:rPr>
                <w:rFonts w:asciiTheme="minorHAnsi" w:hAnsiTheme="minorHAnsi" w:cstheme="minorHAnsi"/>
              </w:rPr>
              <w:lastRenderedPageBreak/>
              <w:t>within 90 days</w:t>
            </w:r>
          </w:p>
        </w:tc>
        <w:tc>
          <w:tcPr>
            <w:tcW w:w="1323" w:type="dxa"/>
          </w:tcPr>
          <w:p w14:paraId="3A08324F"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hAnsiTheme="minorHAnsi" w:cstheme="minorHAnsi"/>
              </w:rPr>
              <w:lastRenderedPageBreak/>
              <w:t>N/A*</w:t>
            </w:r>
          </w:p>
        </w:tc>
        <w:tc>
          <w:tcPr>
            <w:tcW w:w="1503" w:type="dxa"/>
          </w:tcPr>
          <w:p w14:paraId="677ECC3A"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eastAsia="PMingLiU" w:hAnsiTheme="minorHAnsi" w:cstheme="minorHAnsi"/>
              </w:rPr>
              <w:t>N/A*</w:t>
            </w:r>
          </w:p>
        </w:tc>
        <w:tc>
          <w:tcPr>
            <w:tcW w:w="4118" w:type="dxa"/>
          </w:tcPr>
          <w:p w14:paraId="066DAA82"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eastAsia="PMingLiU" w:hAnsiTheme="minorHAnsi" w:cstheme="minorHAnsi"/>
              </w:rPr>
              <w:t xml:space="preserve">This measure is not being reported for FY 2023 </w:t>
            </w:r>
            <w:r w:rsidRPr="00875EB0">
              <w:rPr>
                <w:rFonts w:asciiTheme="minorHAnsi" w:hAnsiTheme="minorHAnsi" w:cstheme="minorHAnsi"/>
              </w:rPr>
              <w:t xml:space="preserve">due to the transition of 11(c) </w:t>
            </w:r>
            <w:r w:rsidRPr="00875EB0">
              <w:rPr>
                <w:rFonts w:asciiTheme="minorHAnsi" w:hAnsiTheme="minorHAnsi" w:cstheme="minorHAnsi"/>
              </w:rPr>
              <w:lastRenderedPageBreak/>
              <w:t>data from IMIS to OIS</w:t>
            </w:r>
            <w:r w:rsidRPr="00875EB0">
              <w:rPr>
                <w:rFonts w:asciiTheme="minorHAnsi" w:eastAsia="PMingLiU" w:hAnsiTheme="minorHAnsi" w:cstheme="minorHAnsi"/>
              </w:rPr>
              <w:t>.</w:t>
            </w:r>
          </w:p>
        </w:tc>
      </w:tr>
      <w:tr w:rsidR="00F01795" w:rsidRPr="00875EB0" w14:paraId="0FE131D5" w14:textId="77777777" w:rsidTr="00AB3B47">
        <w:tc>
          <w:tcPr>
            <w:cnfStyle w:val="001000000000" w:firstRow="0" w:lastRow="0" w:firstColumn="1" w:lastColumn="0" w:oddVBand="0" w:evenVBand="0" w:oddHBand="0" w:evenHBand="0" w:firstRowFirstColumn="0" w:firstRowLastColumn="0" w:lastRowFirstColumn="0" w:lastRowLastColumn="0"/>
            <w:tcW w:w="1071" w:type="dxa"/>
          </w:tcPr>
          <w:p w14:paraId="18317992"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875EB0">
              <w:rPr>
                <w:rFonts w:asciiTheme="minorHAnsi" w:eastAsia="PMingLiU" w:hAnsiTheme="minorHAnsi" w:cstheme="minorHAnsi"/>
              </w:rPr>
              <w:lastRenderedPageBreak/>
              <w:t>15</w:t>
            </w:r>
          </w:p>
        </w:tc>
        <w:tc>
          <w:tcPr>
            <w:tcW w:w="2965" w:type="dxa"/>
          </w:tcPr>
          <w:p w14:paraId="3D118FE2"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5EB0">
              <w:rPr>
                <w:rFonts w:asciiTheme="minorHAnsi" w:hAnsiTheme="minorHAnsi" w:cstheme="minorHAnsi"/>
              </w:rPr>
              <w:t>Percent of 11(c) complaints that are meritorious</w:t>
            </w:r>
          </w:p>
        </w:tc>
        <w:tc>
          <w:tcPr>
            <w:tcW w:w="1323" w:type="dxa"/>
          </w:tcPr>
          <w:p w14:paraId="65C9B3A1"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hAnsiTheme="minorHAnsi" w:cstheme="minorHAnsi"/>
              </w:rPr>
              <w:t>N/A*</w:t>
            </w:r>
          </w:p>
        </w:tc>
        <w:tc>
          <w:tcPr>
            <w:tcW w:w="1503" w:type="dxa"/>
          </w:tcPr>
          <w:p w14:paraId="05FD223A"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eastAsia="PMingLiU" w:hAnsiTheme="minorHAnsi" w:cstheme="minorHAnsi"/>
              </w:rPr>
              <w:t>N/A*</w:t>
            </w:r>
          </w:p>
        </w:tc>
        <w:tc>
          <w:tcPr>
            <w:tcW w:w="4118" w:type="dxa"/>
          </w:tcPr>
          <w:p w14:paraId="5B16AC69"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hAnsiTheme="minorHAnsi" w:cstheme="minorHAnsi"/>
              </w:rPr>
              <w:t xml:space="preserve">This measure is not being reported for FY 2023 due to the transition of 11(c) data from IMIS to OIS. </w:t>
            </w:r>
          </w:p>
        </w:tc>
      </w:tr>
      <w:tr w:rsidR="00F01795" w:rsidRPr="00875EB0" w14:paraId="14C98B81" w14:textId="77777777" w:rsidTr="00AB3B47">
        <w:tc>
          <w:tcPr>
            <w:cnfStyle w:val="001000000000" w:firstRow="0" w:lastRow="0" w:firstColumn="1" w:lastColumn="0" w:oddVBand="0" w:evenVBand="0" w:oddHBand="0" w:evenHBand="0" w:firstRowFirstColumn="0" w:firstRowLastColumn="0" w:lastRowFirstColumn="0" w:lastRowLastColumn="0"/>
            <w:tcW w:w="1071" w:type="dxa"/>
          </w:tcPr>
          <w:p w14:paraId="4D416B41"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875EB0">
              <w:rPr>
                <w:rFonts w:asciiTheme="minorHAnsi" w:eastAsia="PMingLiU" w:hAnsiTheme="minorHAnsi" w:cstheme="minorHAnsi"/>
              </w:rPr>
              <w:t>16</w:t>
            </w:r>
          </w:p>
        </w:tc>
        <w:tc>
          <w:tcPr>
            <w:tcW w:w="2965" w:type="dxa"/>
          </w:tcPr>
          <w:p w14:paraId="61BC8343"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5EB0">
              <w:rPr>
                <w:rFonts w:asciiTheme="minorHAnsi" w:hAnsiTheme="minorHAnsi" w:cstheme="minorHAnsi"/>
              </w:rPr>
              <w:t>Average number of calendar days to complete an 11(c) investigation</w:t>
            </w:r>
          </w:p>
        </w:tc>
        <w:tc>
          <w:tcPr>
            <w:tcW w:w="1323" w:type="dxa"/>
          </w:tcPr>
          <w:p w14:paraId="18049BB3"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eastAsia="PMingLiU" w:hAnsiTheme="minorHAnsi" w:cstheme="minorHAnsi"/>
              </w:rPr>
              <w:t>N/A*</w:t>
            </w:r>
          </w:p>
        </w:tc>
        <w:tc>
          <w:tcPr>
            <w:tcW w:w="1503" w:type="dxa"/>
            <w:shd w:val="clear" w:color="auto" w:fill="auto"/>
          </w:tcPr>
          <w:p w14:paraId="03D5ED42"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hAnsiTheme="minorHAnsi" w:cstheme="minorHAnsi"/>
              </w:rPr>
              <w:t>N/A*</w:t>
            </w:r>
          </w:p>
        </w:tc>
        <w:tc>
          <w:tcPr>
            <w:tcW w:w="4118" w:type="dxa"/>
          </w:tcPr>
          <w:p w14:paraId="40FBBE8A" w14:textId="77777777" w:rsidR="00F01795" w:rsidRPr="00875EB0"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75EB0">
              <w:rPr>
                <w:rFonts w:asciiTheme="minorHAnsi" w:hAnsiTheme="minorHAnsi" w:cstheme="minorHAnsi"/>
              </w:rPr>
              <w:t>This measure is not being reported for FY 2023 due to the transition of 11(c) data from IMIS to OIS.</w:t>
            </w:r>
          </w:p>
        </w:tc>
      </w:tr>
      <w:tr w:rsidR="00F01795" w:rsidRPr="00875EB0" w14:paraId="4E503327" w14:textId="77777777" w:rsidTr="00AB3B47">
        <w:tc>
          <w:tcPr>
            <w:cnfStyle w:val="001000000000" w:firstRow="0" w:lastRow="0" w:firstColumn="1" w:lastColumn="0" w:oddVBand="0" w:evenVBand="0" w:oddHBand="0" w:evenHBand="0" w:firstRowFirstColumn="0" w:firstRowLastColumn="0" w:lastRowFirstColumn="0" w:lastRowLastColumn="0"/>
            <w:tcW w:w="1071" w:type="dxa"/>
          </w:tcPr>
          <w:p w14:paraId="5D9395A3" w14:textId="77777777" w:rsidR="00F01795" w:rsidRPr="00A30D8F"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bCs w:val="0"/>
              </w:rPr>
            </w:pPr>
            <w:r w:rsidRPr="00A30D8F">
              <w:rPr>
                <w:rFonts w:asciiTheme="minorHAnsi" w:eastAsia="PMingLiU" w:hAnsiTheme="minorHAnsi" w:cstheme="minorHAnsi"/>
              </w:rPr>
              <w:t>17</w:t>
            </w:r>
          </w:p>
          <w:p w14:paraId="12F97F66" w14:textId="174DEB16" w:rsidR="00D4161B" w:rsidRPr="00A30D8F" w:rsidRDefault="00D4161B"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p>
        </w:tc>
        <w:tc>
          <w:tcPr>
            <w:tcW w:w="2965" w:type="dxa"/>
          </w:tcPr>
          <w:p w14:paraId="089933FD" w14:textId="77777777" w:rsidR="00F01795" w:rsidRPr="00A30D8F" w:rsidRDefault="00F01795"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0D8F">
              <w:rPr>
                <w:rFonts w:asciiTheme="minorHAnsi" w:hAnsiTheme="minorHAnsi" w:cstheme="minorHAnsi"/>
              </w:rPr>
              <w:t>Percent of enforcement presence</w:t>
            </w:r>
          </w:p>
        </w:tc>
        <w:tc>
          <w:tcPr>
            <w:tcW w:w="1323" w:type="dxa"/>
          </w:tcPr>
          <w:p w14:paraId="786C32C5" w14:textId="77E7EE17" w:rsidR="00F01795" w:rsidRPr="00A30D8F" w:rsidRDefault="00875EB0"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30D8F">
              <w:rPr>
                <w:rFonts w:asciiTheme="minorHAnsi" w:hAnsiTheme="minorHAnsi" w:cstheme="minorHAnsi"/>
              </w:rPr>
              <w:t>0.8</w:t>
            </w:r>
            <w:r w:rsidR="00A30D8F">
              <w:rPr>
                <w:rFonts w:asciiTheme="minorHAnsi" w:hAnsiTheme="minorHAnsi" w:cstheme="minorHAnsi"/>
              </w:rPr>
              <w:t>3</w:t>
            </w:r>
            <w:r w:rsidRPr="00A30D8F">
              <w:rPr>
                <w:rFonts w:asciiTheme="minorHAnsi" w:hAnsiTheme="minorHAnsi" w:cstheme="minorHAnsi"/>
              </w:rPr>
              <w:t>%</w:t>
            </w:r>
          </w:p>
        </w:tc>
        <w:tc>
          <w:tcPr>
            <w:tcW w:w="1503" w:type="dxa"/>
          </w:tcPr>
          <w:p w14:paraId="79AA2D2E" w14:textId="77777777" w:rsidR="00875EB0" w:rsidRPr="00A30D8F" w:rsidRDefault="00875EB0" w:rsidP="00875E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0D8F">
              <w:rPr>
                <w:rFonts w:asciiTheme="minorHAnsi" w:hAnsiTheme="minorHAnsi" w:cstheme="minorHAnsi"/>
              </w:rPr>
              <w:t>+/- 25% of</w:t>
            </w:r>
          </w:p>
          <w:p w14:paraId="0346A0C4" w14:textId="53386871" w:rsidR="00F01795" w:rsidRPr="00A30D8F" w:rsidRDefault="00A30D8F" w:rsidP="00875EB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hAnsiTheme="minorHAnsi" w:cstheme="minorHAnsi"/>
              </w:rPr>
              <w:t>0.93</w:t>
            </w:r>
            <w:r w:rsidR="00875EB0" w:rsidRPr="00A30D8F">
              <w:rPr>
                <w:rFonts w:asciiTheme="minorHAnsi" w:hAnsiTheme="minorHAnsi" w:cstheme="minorHAnsi"/>
              </w:rPr>
              <w:t>%</w:t>
            </w:r>
          </w:p>
        </w:tc>
        <w:tc>
          <w:tcPr>
            <w:tcW w:w="4118" w:type="dxa"/>
          </w:tcPr>
          <w:p w14:paraId="47923035" w14:textId="0A21BAF5" w:rsidR="00F01795" w:rsidRPr="00A30D8F" w:rsidRDefault="00875EB0" w:rsidP="008150A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30D8F">
              <w:rPr>
                <w:rFonts w:asciiTheme="minorHAnsi" w:hAnsiTheme="minorHAnsi" w:cstheme="minorHAnsi"/>
              </w:rPr>
              <w:t xml:space="preserve">The further review level is based on a three-year national average.  The range of acceptable data not requiring further review is from </w:t>
            </w:r>
            <w:r w:rsidR="00A30D8F">
              <w:rPr>
                <w:rFonts w:asciiTheme="minorHAnsi" w:hAnsiTheme="minorHAnsi" w:cstheme="minorHAnsi"/>
              </w:rPr>
              <w:t>0</w:t>
            </w:r>
            <w:r w:rsidRPr="00A30D8F">
              <w:rPr>
                <w:rFonts w:asciiTheme="minorHAnsi" w:hAnsiTheme="minorHAnsi" w:cstheme="minorHAnsi"/>
              </w:rPr>
              <w:t>.</w:t>
            </w:r>
            <w:r w:rsidR="00A30D8F">
              <w:rPr>
                <w:rFonts w:asciiTheme="minorHAnsi" w:hAnsiTheme="minorHAnsi" w:cstheme="minorHAnsi"/>
              </w:rPr>
              <w:t>70</w:t>
            </w:r>
            <w:r w:rsidRPr="00A30D8F">
              <w:rPr>
                <w:rFonts w:asciiTheme="minorHAnsi" w:hAnsiTheme="minorHAnsi" w:cstheme="minorHAnsi"/>
              </w:rPr>
              <w:t xml:space="preserve">% to </w:t>
            </w:r>
            <w:r w:rsidR="00A30D8F">
              <w:rPr>
                <w:rFonts w:asciiTheme="minorHAnsi" w:hAnsiTheme="minorHAnsi" w:cstheme="minorHAnsi"/>
              </w:rPr>
              <w:t>1</w:t>
            </w:r>
            <w:r w:rsidRPr="00A30D8F">
              <w:rPr>
                <w:rFonts w:asciiTheme="minorHAnsi" w:hAnsiTheme="minorHAnsi" w:cstheme="minorHAnsi"/>
              </w:rPr>
              <w:t>.1</w:t>
            </w:r>
            <w:r w:rsidR="00A30D8F">
              <w:rPr>
                <w:rFonts w:asciiTheme="minorHAnsi" w:hAnsiTheme="minorHAnsi" w:cstheme="minorHAnsi"/>
              </w:rPr>
              <w:t>7</w:t>
            </w:r>
            <w:r w:rsidRPr="00A30D8F">
              <w:rPr>
                <w:rFonts w:asciiTheme="minorHAnsi" w:hAnsiTheme="minorHAnsi" w:cstheme="minorHAnsi"/>
              </w:rPr>
              <w:t>%.</w:t>
            </w:r>
          </w:p>
        </w:tc>
      </w:tr>
    </w:tbl>
    <w:p w14:paraId="75C73E19" w14:textId="77777777" w:rsidR="00F01795" w:rsidRPr="00CF14D5" w:rsidRDefault="00F01795" w:rsidP="00F01795">
      <w:pPr>
        <w:rPr>
          <w:rFonts w:ascii="Calibri" w:hAnsi="Calibri" w:cs="Calibri"/>
          <w:b/>
          <w:sz w:val="28"/>
          <w:szCs w:val="28"/>
        </w:rPr>
      </w:pPr>
    </w:p>
    <w:p w14:paraId="77A64A9A" w14:textId="77777777" w:rsidR="00F01795" w:rsidRPr="00875EB0" w:rsidRDefault="00F01795" w:rsidP="00F01795">
      <w:pPr>
        <w:rPr>
          <w:rFonts w:asciiTheme="minorHAnsi" w:hAnsiTheme="minorHAnsi" w:cstheme="minorHAnsi"/>
        </w:rPr>
      </w:pPr>
      <w:r w:rsidRPr="00875EB0">
        <w:rPr>
          <w:rFonts w:asciiTheme="minorHAnsi" w:hAnsiTheme="minorHAnsi" w:cstheme="minorHAnsi"/>
        </w:rPr>
        <w:t xml:space="preserve">NOTE:  The national averages in this report are three-year rolling averages.  Unless otherwise noted, the data contained in this Appendix D is pulled from the State Activity Mandated Measures (SAMM) Report in OIS and the State Plan </w:t>
      </w:r>
      <w:proofErr w:type="spellStart"/>
      <w:r w:rsidRPr="00875EB0">
        <w:rPr>
          <w:rFonts w:asciiTheme="minorHAnsi" w:hAnsiTheme="minorHAnsi" w:cstheme="minorHAnsi"/>
        </w:rPr>
        <w:t>WebIMIS</w:t>
      </w:r>
      <w:proofErr w:type="spellEnd"/>
      <w:r w:rsidRPr="00875EB0">
        <w:rPr>
          <w:rFonts w:asciiTheme="minorHAnsi" w:hAnsiTheme="minorHAnsi" w:cstheme="minorHAnsi"/>
        </w:rPr>
        <w:t xml:space="preserve"> report run on November 14, 2023, as part of OSHA’s official end-of-year data run.</w:t>
      </w:r>
    </w:p>
    <w:p w14:paraId="38986670" w14:textId="77777777" w:rsidR="00384419" w:rsidRDefault="009D79D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rPr>
        <w:sectPr w:rsidR="00384419" w:rsidSect="001A35DD">
          <w:headerReference w:type="default" r:id="rId37"/>
          <w:footerReference w:type="default" r:id="rId38"/>
          <w:pgSz w:w="12240" w:h="15840" w:code="1"/>
          <w:pgMar w:top="720" w:right="720" w:bottom="720" w:left="720" w:header="720" w:footer="620" w:gutter="0"/>
          <w:pgNumType w:start="1"/>
          <w:cols w:space="720"/>
          <w:rtlGutter/>
          <w:docGrid w:linePitch="360"/>
        </w:sectPr>
      </w:pPr>
      <w:r w:rsidRPr="00875EB0">
        <w:rPr>
          <w:rFonts w:asciiTheme="minorHAnsi" w:eastAsia="PMingLiU" w:hAnsiTheme="minorHAnsi" w:cstheme="minorHAnsi"/>
          <w:b/>
        </w:rPr>
        <w:br w:type="textWrapping" w:clear="all"/>
      </w:r>
    </w:p>
    <w:p w14:paraId="499EA656" w14:textId="77777777" w:rsidR="00384419" w:rsidRDefault="003844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rPr>
      </w:pPr>
    </w:p>
    <w:sectPr w:rsidR="00384419">
      <w:headerReference w:type="default" r:id="rId39"/>
      <w:footerReference w:type="default" r:id="rId40"/>
      <w:type w:val="continuous"/>
      <w:pgSz w:w="12240" w:h="15840" w:code="1"/>
      <w:pgMar w:top="1440" w:right="1440" w:bottom="1440" w:left="1440" w:header="720" w:footer="720" w:gutter="0"/>
      <w:pgNumType w:fmt="upperLetter"/>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AD59D" w14:textId="77777777" w:rsidR="004331DD" w:rsidRDefault="004331DD">
      <w:r>
        <w:separator/>
      </w:r>
    </w:p>
  </w:endnote>
  <w:endnote w:type="continuationSeparator" w:id="0">
    <w:p w14:paraId="63A221BA" w14:textId="77777777" w:rsidR="004331DD" w:rsidRDefault="004331DD">
      <w:r>
        <w:continuationSeparator/>
      </w:r>
    </w:p>
  </w:endnote>
  <w:endnote w:type="continuationNotice" w:id="1">
    <w:p w14:paraId="123CF258" w14:textId="77777777" w:rsidR="004331DD" w:rsidRDefault="004331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B2"/>
    <w:family w:val="auto"/>
    <w:pitch w:val="variable"/>
    <w:sig w:usb0="8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620547"/>
      <w:docPartObj>
        <w:docPartGallery w:val="Page Numbers (Bottom of Page)"/>
        <w:docPartUnique/>
      </w:docPartObj>
    </w:sdtPr>
    <w:sdtEndPr>
      <w:rPr>
        <w:noProof/>
      </w:rPr>
    </w:sdtEndPr>
    <w:sdtContent>
      <w:p w14:paraId="4FE6917F" w14:textId="77777777" w:rsidR="00384419" w:rsidRDefault="009D79D6">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5B689AD0" w14:textId="77777777" w:rsidR="00384419" w:rsidRDefault="00384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6BBE3" w14:textId="77777777" w:rsidR="00384419" w:rsidRDefault="00384419">
    <w:pPr>
      <w:pStyle w:val="Footer"/>
      <w:jc w:val="center"/>
    </w:pPr>
  </w:p>
  <w:p w14:paraId="6812D685" w14:textId="77777777" w:rsidR="00384419" w:rsidRDefault="00384419">
    <w:pPr>
      <w:pStyle w:val="Footer"/>
      <w:tabs>
        <w:tab w:val="clear" w:pos="4680"/>
        <w:tab w:val="clear" w:pos="9360"/>
        <w:tab w:val="left" w:pos="32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594504"/>
      <w:docPartObj>
        <w:docPartGallery w:val="Page Numbers (Bottom of Page)"/>
        <w:docPartUnique/>
      </w:docPartObj>
    </w:sdtPr>
    <w:sdtEndPr>
      <w:rPr>
        <w:noProof/>
      </w:rPr>
    </w:sdtEndPr>
    <w:sdtContent>
      <w:p w14:paraId="27AF73B6" w14:textId="77777777" w:rsidR="00384419" w:rsidRDefault="009D79D6">
        <w:pPr>
          <w:pStyle w:val="Footer"/>
          <w:jc w:val="center"/>
        </w:pPr>
        <w:r>
          <w:t>B-1</w:t>
        </w:r>
      </w:p>
    </w:sdtContent>
  </w:sdt>
  <w:p w14:paraId="10F6C7F0" w14:textId="77777777" w:rsidR="00384419" w:rsidRDefault="003844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45299"/>
      <w:docPartObj>
        <w:docPartGallery w:val="Page Numbers (Bottom of Page)"/>
        <w:docPartUnique/>
      </w:docPartObj>
    </w:sdtPr>
    <w:sdtEndPr>
      <w:rPr>
        <w:noProof/>
      </w:rPr>
    </w:sdtEndPr>
    <w:sdtContent>
      <w:p w14:paraId="7DB17E8D" w14:textId="77777777" w:rsidR="00384419" w:rsidRDefault="009D79D6">
        <w:pPr>
          <w:pStyle w:val="Footer"/>
          <w:jc w:val="center"/>
        </w:pPr>
        <w:r>
          <w:t>A-1</w:t>
        </w:r>
      </w:p>
    </w:sdtContent>
  </w:sdt>
  <w:p w14:paraId="1D50E63B" w14:textId="77777777" w:rsidR="00384419" w:rsidRDefault="0038441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DC37" w14:textId="77777777" w:rsidR="00384419" w:rsidRDefault="00384419">
    <w:pPr>
      <w:pStyle w:val="Footer"/>
      <w:jc w:val="center"/>
    </w:pPr>
  </w:p>
  <w:p w14:paraId="31E40DF0" w14:textId="77777777" w:rsidR="00384419" w:rsidRDefault="0038441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684331"/>
      <w:docPartObj>
        <w:docPartGallery w:val="Page Numbers (Bottom of Page)"/>
        <w:docPartUnique/>
      </w:docPartObj>
    </w:sdtPr>
    <w:sdtEndPr>
      <w:rPr>
        <w:noProof/>
      </w:rPr>
    </w:sdtEndPr>
    <w:sdtContent>
      <w:p w14:paraId="18EDDEA9" w14:textId="77777777" w:rsidR="00384419" w:rsidRDefault="009D79D6">
        <w:pPr>
          <w:pStyle w:val="Footer"/>
          <w:jc w:val="center"/>
        </w:pPr>
        <w:r>
          <w:t>C-1</w:t>
        </w:r>
      </w:p>
    </w:sdtContent>
  </w:sdt>
  <w:p w14:paraId="7883C67E" w14:textId="77777777" w:rsidR="00384419" w:rsidRDefault="0038441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41F0C" w14:textId="77777777" w:rsidR="00384419" w:rsidRDefault="0038441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56464"/>
      <w:docPartObj>
        <w:docPartGallery w:val="Page Numbers (Bottom of Page)"/>
        <w:docPartUnique/>
      </w:docPartObj>
    </w:sdtPr>
    <w:sdtEndPr>
      <w:rPr>
        <w:noProof/>
      </w:rPr>
    </w:sdtEndPr>
    <w:sdtContent>
      <w:p w14:paraId="50EF0E41" w14:textId="77777777" w:rsidR="00384419" w:rsidRDefault="009D79D6">
        <w:pPr>
          <w:pStyle w:val="Footer"/>
          <w:jc w:val="center"/>
        </w:pPr>
        <w:r>
          <w:t>D-</w:t>
        </w:r>
        <w:r>
          <w:fldChar w:fldCharType="begin"/>
        </w:r>
        <w:r>
          <w:instrText xml:space="preserve"> PAGE   \* MERGEFORMAT </w:instrText>
        </w:r>
        <w:r>
          <w:fldChar w:fldCharType="separate"/>
        </w:r>
        <w:r>
          <w:rPr>
            <w:noProof/>
          </w:rPr>
          <w:t>4</w:t>
        </w:r>
        <w:r>
          <w:rPr>
            <w:noProof/>
          </w:rPr>
          <w:fldChar w:fldCharType="end"/>
        </w:r>
      </w:p>
    </w:sdtContent>
  </w:sdt>
  <w:p w14:paraId="7E02C2F4" w14:textId="77777777" w:rsidR="00384419" w:rsidRDefault="00384419">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10BD3" w14:textId="77777777" w:rsidR="00384419" w:rsidRDefault="0038441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78F0D" w14:textId="77777777" w:rsidR="004331DD" w:rsidRDefault="004331DD">
      <w:r>
        <w:separator/>
      </w:r>
    </w:p>
  </w:footnote>
  <w:footnote w:type="continuationSeparator" w:id="0">
    <w:p w14:paraId="6EEB0921" w14:textId="77777777" w:rsidR="004331DD" w:rsidRDefault="004331DD">
      <w:r>
        <w:continuationSeparator/>
      </w:r>
    </w:p>
  </w:footnote>
  <w:footnote w:type="continuationNotice" w:id="1">
    <w:p w14:paraId="698114EA" w14:textId="77777777" w:rsidR="004331DD" w:rsidRDefault="004331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135AC" w14:textId="77777777" w:rsidR="00384419" w:rsidRDefault="009D79D6">
    <w:pPr>
      <w:keepNext/>
      <w:keepLines/>
      <w:widowControl/>
      <w:autoSpaceDE/>
      <w:autoSpaceDN/>
      <w:adjustRightInd/>
      <w:spacing w:line="276" w:lineRule="auto"/>
      <w:jc w:val="center"/>
      <w:outlineLvl w:val="0"/>
      <w:rPr>
        <w:b/>
        <w:color w:val="0070C0"/>
        <w:sz w:val="28"/>
        <w:szCs w:val="28"/>
      </w:rPr>
    </w:pPr>
    <w:r>
      <w:rPr>
        <w:b/>
        <w:bCs/>
        <w:color w:val="4F81BD" w:themeColor="accent1"/>
        <w:sz w:val="28"/>
        <w:szCs w:val="28"/>
      </w:rPr>
      <w:t>Appendix B – Observations Subject to New and Continued Monitoring</w:t>
    </w:r>
  </w:p>
  <w:p w14:paraId="03E4B711" w14:textId="0E910803" w:rsidR="00384419" w:rsidRDefault="009D79D6">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rPr>
        <w:rFonts w:eastAsia="PMingLiU"/>
        <w:sz w:val="22"/>
        <w:szCs w:val="22"/>
      </w:rPr>
    </w:pPr>
    <w:r>
      <w:t>FY 202</w:t>
    </w:r>
    <w:r w:rsidR="00AB3B47">
      <w:t>3</w:t>
    </w:r>
    <w:r>
      <w:t xml:space="preserve"> OSHNC Comprehensive FAME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E8581" w14:textId="77777777" w:rsidR="00384419" w:rsidRDefault="009D79D6">
    <w:pPr>
      <w:keepNext/>
      <w:keepLines/>
      <w:widowControl/>
      <w:autoSpaceDE/>
      <w:autoSpaceDN/>
      <w:adjustRightInd/>
      <w:spacing w:line="276" w:lineRule="auto"/>
      <w:jc w:val="center"/>
      <w:outlineLvl w:val="0"/>
      <w:rPr>
        <w:sz w:val="28"/>
        <w:szCs w:val="28"/>
      </w:rPr>
    </w:pPr>
    <w:r>
      <w:rPr>
        <w:b/>
        <w:bCs/>
        <w:color w:val="4F81BD" w:themeColor="accent1"/>
        <w:sz w:val="28"/>
        <w:szCs w:val="28"/>
      </w:rPr>
      <w:t>Appendix A – New and Continued Findings and Recommendations</w:t>
    </w:r>
  </w:p>
  <w:p w14:paraId="11F47271" w14:textId="05B11C99" w:rsidR="00384419" w:rsidRDefault="009D79D6">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rPr>
        <w:rFonts w:eastAsia="PMingLiU"/>
        <w:sz w:val="22"/>
        <w:szCs w:val="22"/>
      </w:rPr>
    </w:pPr>
    <w:r>
      <w:t>FY 202</w:t>
    </w:r>
    <w:r w:rsidR="00AB3B47">
      <w:t>3</w:t>
    </w:r>
    <w:r>
      <w:t xml:space="preserve"> OSHNC Comprehensive FAME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4FC13" w14:textId="77777777" w:rsidR="00384419" w:rsidRDefault="009D79D6">
    <w:pPr>
      <w:pStyle w:val="Heading2"/>
      <w:jc w:val="center"/>
    </w:pPr>
    <w:r>
      <w:t>Appendix B – Observations Subject to New and Continued Monitoring</w:t>
    </w:r>
  </w:p>
  <w:p w14:paraId="31E74F60" w14:textId="77777777" w:rsidR="00384419" w:rsidRDefault="009D79D6">
    <w:pPr>
      <w:jc w:val="center"/>
    </w:pPr>
    <w:r>
      <w:t>FY 20XX [</w:t>
    </w:r>
    <w:r>
      <w:rPr>
        <w:i/>
      </w:rPr>
      <w:t>State Name</w:t>
    </w:r>
    <w:r>
      <w:t>] State Plan FAME Report</w:t>
    </w:r>
    <w:r>
      <w:br/>
    </w:r>
  </w:p>
  <w:p w14:paraId="11DCF410" w14:textId="77777777" w:rsidR="00384419" w:rsidRDefault="00384419">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D6DFE" w14:textId="77777777" w:rsidR="00384419" w:rsidRDefault="009D79D6">
    <w:pPr>
      <w:keepNext/>
      <w:keepLines/>
      <w:widowControl/>
      <w:autoSpaceDE/>
      <w:autoSpaceDN/>
      <w:adjustRightInd/>
      <w:spacing w:line="276" w:lineRule="auto"/>
      <w:jc w:val="center"/>
      <w:outlineLvl w:val="0"/>
      <w:rPr>
        <w:b/>
        <w:bCs/>
        <w:color w:val="4F81BD" w:themeColor="accent1"/>
        <w:sz w:val="28"/>
        <w:szCs w:val="28"/>
      </w:rPr>
    </w:pPr>
    <w:r>
      <w:rPr>
        <w:b/>
        <w:bCs/>
        <w:color w:val="4F81BD" w:themeColor="accent1"/>
        <w:sz w:val="28"/>
        <w:szCs w:val="28"/>
      </w:rPr>
      <w:t>Appendix C - Status of FY 2021 Findings and Recommendations</w:t>
    </w:r>
  </w:p>
  <w:p w14:paraId="2DF1AA14" w14:textId="709341E6" w:rsidR="00384419" w:rsidRDefault="009D79D6">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pPr>
    <w:r>
      <w:t>FY 202</w:t>
    </w:r>
    <w:r w:rsidR="00AB3B47">
      <w:t>3</w:t>
    </w:r>
    <w:r>
      <w:t xml:space="preserve"> OSHNC Comprehensive FAME Report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A6192" w14:textId="77777777" w:rsidR="00384419" w:rsidRDefault="009D79D6">
    <w:pPr>
      <w:pStyle w:val="Heading1"/>
      <w:ind w:left="-180"/>
      <w:jc w:val="center"/>
      <w:rPr>
        <w:rFonts w:ascii="Times New Roman" w:hAnsi="Times New Roman"/>
        <w:color w:val="0070C0"/>
      </w:rPr>
    </w:pPr>
    <w:r>
      <w:rPr>
        <w:rFonts w:ascii="Times New Roman" w:hAnsi="Times New Roman"/>
        <w:color w:val="0070C0"/>
      </w:rPr>
      <w:t>Appendix D - Status of FY 20XX Findings and Recommendations</w:t>
    </w:r>
  </w:p>
  <w:p w14:paraId="678DF960" w14:textId="77777777" w:rsidR="00384419" w:rsidRDefault="009D79D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rPr>
    </w:pPr>
    <w:r>
      <w:t>FY 20XX [State Plan Name] Comprehensive FAME Report</w:t>
    </w:r>
  </w:p>
  <w:p w14:paraId="4CA4C1D3" w14:textId="77777777" w:rsidR="00384419" w:rsidRDefault="00384419">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EE66F" w14:textId="77777777" w:rsidR="00384419" w:rsidRDefault="00384419">
    <w:pPr>
      <w:keepNext/>
      <w:keepLines/>
      <w:widowControl/>
      <w:autoSpaceDE/>
      <w:autoSpaceDN/>
      <w:adjustRightInd/>
      <w:spacing w:line="276" w:lineRule="auto"/>
      <w:jc w:val="center"/>
      <w:outlineLvl w:val="0"/>
      <w:rPr>
        <w:b/>
        <w:bCs/>
        <w:color w:val="0070C0"/>
        <w:sz w:val="28"/>
        <w:szCs w:val="28"/>
      </w:rPr>
    </w:pPr>
  </w:p>
  <w:p w14:paraId="539B104E" w14:textId="0EB14E91" w:rsidR="00384419" w:rsidRDefault="009D79D6">
    <w:pPr>
      <w:keepNext/>
      <w:keepLines/>
      <w:widowControl/>
      <w:autoSpaceDE/>
      <w:autoSpaceDN/>
      <w:adjustRightInd/>
      <w:spacing w:line="276" w:lineRule="auto"/>
      <w:jc w:val="center"/>
      <w:outlineLvl w:val="0"/>
      <w:rPr>
        <w:b/>
        <w:bCs/>
        <w:color w:val="0070C0"/>
        <w:sz w:val="28"/>
        <w:szCs w:val="28"/>
      </w:rPr>
    </w:pPr>
    <w:r>
      <w:rPr>
        <w:b/>
        <w:bCs/>
        <w:color w:val="0070C0"/>
        <w:sz w:val="28"/>
        <w:szCs w:val="28"/>
      </w:rPr>
      <w:t>Appendix D - FY 202</w:t>
    </w:r>
    <w:r w:rsidR="00AB3B47">
      <w:rPr>
        <w:b/>
        <w:bCs/>
        <w:color w:val="0070C0"/>
        <w:sz w:val="28"/>
        <w:szCs w:val="28"/>
      </w:rPr>
      <w:t>3</w:t>
    </w:r>
    <w:r>
      <w:rPr>
        <w:b/>
        <w:bCs/>
        <w:color w:val="0070C0"/>
        <w:sz w:val="28"/>
        <w:szCs w:val="28"/>
      </w:rPr>
      <w:t xml:space="preserve"> State Activity Mandated Measures (SAMM) Report</w:t>
    </w:r>
  </w:p>
  <w:p w14:paraId="7ECD7452" w14:textId="3694E83E" w:rsidR="00384419" w:rsidRDefault="009D79D6">
    <w:pPr>
      <w:pStyle w:val="Header"/>
      <w:jc w:val="center"/>
    </w:pPr>
    <w:r>
      <w:t>FY 202</w:t>
    </w:r>
    <w:r w:rsidR="00AB3B47">
      <w:t>3</w:t>
    </w:r>
    <w:r>
      <w:t xml:space="preserve"> North Carolina Comprehensive FAME Report</w:t>
    </w:r>
    <w:r>
      <w:br/>
    </w:r>
  </w:p>
  <w:p w14:paraId="2AF474E3" w14:textId="77777777" w:rsidR="00384419" w:rsidRDefault="009D79D6">
    <w:pPr>
      <w:pStyle w:val="Header"/>
      <w:jc w:val="center"/>
      <w:rPr>
        <w:b/>
        <w:bCs/>
      </w:rPr>
    </w:pPr>
    <w:r>
      <w:rPr>
        <w:b/>
        <w:bCs/>
        <w:sz w:val="32"/>
        <w:szCs w:val="32"/>
      </w:rPr>
      <w:t>U.S. Department of Labor</w:t>
    </w:r>
    <w:r>
      <w:rPr>
        <w:b/>
        <w:bCs/>
      </w:rPr>
      <w:br/>
      <w:t>Occupational Safety and Health Administration State Plan Activity Mandated Measures (SAMMs)</w:t>
    </w:r>
  </w:p>
  <w:p w14:paraId="7F34EF1E" w14:textId="77777777" w:rsidR="00384419" w:rsidRDefault="00384419">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17A7" w14:textId="77777777" w:rsidR="00384419" w:rsidRDefault="00384419">
    <w:pPr>
      <w:keepNext/>
      <w:keepLines/>
      <w:widowControl/>
      <w:autoSpaceDE/>
      <w:autoSpaceDN/>
      <w:adjustRightInd/>
      <w:spacing w:line="276" w:lineRule="auto"/>
      <w:jc w:val="center"/>
      <w:outlineLvl w:val="0"/>
      <w:rPr>
        <w:b/>
        <w:bCs/>
        <w:color w:val="0070C0"/>
        <w:sz w:val="28"/>
        <w:szCs w:val="28"/>
      </w:rPr>
    </w:pPr>
  </w:p>
  <w:p w14:paraId="7CEA08ED" w14:textId="77777777" w:rsidR="00384419" w:rsidRDefault="00384419">
    <w:pPr>
      <w:keepNext/>
      <w:keepLines/>
      <w:widowControl/>
      <w:autoSpaceDE/>
      <w:autoSpaceDN/>
      <w:adjustRightInd/>
      <w:spacing w:line="276" w:lineRule="auto"/>
      <w:jc w:val="center"/>
      <w:outlineLvl w:val="0"/>
      <w:rPr>
        <w:b/>
        <w:bCs/>
        <w:color w:val="0070C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3C377FA"/>
    <w:multiLevelType w:val="hybridMultilevel"/>
    <w:tmpl w:val="CBAE5658"/>
    <w:lvl w:ilvl="0" w:tplc="FD72B01A">
      <w:start w:val="2"/>
      <w:numFmt w:val="lowerLetter"/>
      <w:lvlText w:val="%1)"/>
      <w:lvlJc w:val="left"/>
      <w:pPr>
        <w:ind w:left="1530" w:hanging="360"/>
      </w:pPr>
      <w:rPr>
        <w:rFonts w:ascii="Times New Roman" w:hAnsi="Times New Roman" w:cs="Times New Roman"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4" w15:restartNumberingAfterBreak="0">
    <w:nsid w:val="09384FAA"/>
    <w:multiLevelType w:val="hybridMultilevel"/>
    <w:tmpl w:val="AB5C9702"/>
    <w:lvl w:ilvl="0" w:tplc="BF76C3FE">
      <w:start w:val="1"/>
      <w:numFmt w:val="bullet"/>
      <w:lvlText w:val=""/>
      <w:lvlJc w:val="left"/>
      <w:pPr>
        <w:ind w:left="842" w:hanging="360"/>
      </w:pPr>
      <w:rPr>
        <w:rFonts w:ascii="Symbol" w:hAnsi="Symbol" w:hint="default"/>
        <w:sz w:val="24"/>
        <w:szCs w:val="24"/>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25" w15:restartNumberingAfterBreak="0">
    <w:nsid w:val="1F9B3E10"/>
    <w:multiLevelType w:val="hybridMultilevel"/>
    <w:tmpl w:val="B4407D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7AD41BC"/>
    <w:multiLevelType w:val="hybridMultilevel"/>
    <w:tmpl w:val="1B8E8BAA"/>
    <w:lvl w:ilvl="0" w:tplc="5B08BAD0">
      <w:start w:val="1"/>
      <w:numFmt w:val="upperRoman"/>
      <w:lvlText w:val="%1."/>
      <w:lvlJc w:val="right"/>
      <w:pPr>
        <w:ind w:left="720" w:hanging="360"/>
      </w:pPr>
    </w:lvl>
    <w:lvl w:ilvl="1" w:tplc="63789128">
      <w:start w:val="1"/>
      <w:numFmt w:val="lowerLetter"/>
      <w:lvlText w:val="%2."/>
      <w:lvlJc w:val="left"/>
      <w:pPr>
        <w:ind w:left="1440" w:hanging="360"/>
      </w:pPr>
    </w:lvl>
    <w:lvl w:ilvl="2" w:tplc="4E7C64B8">
      <w:start w:val="1"/>
      <w:numFmt w:val="lowerRoman"/>
      <w:lvlText w:val="%3."/>
      <w:lvlJc w:val="right"/>
      <w:pPr>
        <w:ind w:left="2160" w:hanging="180"/>
      </w:pPr>
    </w:lvl>
    <w:lvl w:ilvl="3" w:tplc="3D8ECCB8">
      <w:start w:val="1"/>
      <w:numFmt w:val="decimal"/>
      <w:lvlText w:val="%4."/>
      <w:lvlJc w:val="left"/>
      <w:pPr>
        <w:ind w:left="2880" w:hanging="360"/>
      </w:pPr>
    </w:lvl>
    <w:lvl w:ilvl="4" w:tplc="2474D596">
      <w:start w:val="1"/>
      <w:numFmt w:val="lowerLetter"/>
      <w:lvlText w:val="%5."/>
      <w:lvlJc w:val="left"/>
      <w:pPr>
        <w:ind w:left="3600" w:hanging="360"/>
      </w:pPr>
    </w:lvl>
    <w:lvl w:ilvl="5" w:tplc="6D06F5A0">
      <w:start w:val="1"/>
      <w:numFmt w:val="lowerRoman"/>
      <w:lvlText w:val="%6."/>
      <w:lvlJc w:val="right"/>
      <w:pPr>
        <w:ind w:left="4320" w:hanging="180"/>
      </w:pPr>
    </w:lvl>
    <w:lvl w:ilvl="6" w:tplc="B4F49278">
      <w:start w:val="1"/>
      <w:numFmt w:val="decimal"/>
      <w:lvlText w:val="%7."/>
      <w:lvlJc w:val="left"/>
      <w:pPr>
        <w:ind w:left="5040" w:hanging="360"/>
      </w:pPr>
    </w:lvl>
    <w:lvl w:ilvl="7" w:tplc="809658BC">
      <w:start w:val="1"/>
      <w:numFmt w:val="lowerLetter"/>
      <w:lvlText w:val="%8."/>
      <w:lvlJc w:val="left"/>
      <w:pPr>
        <w:ind w:left="5760" w:hanging="360"/>
      </w:pPr>
    </w:lvl>
    <w:lvl w:ilvl="8" w:tplc="A7BC56FA">
      <w:start w:val="1"/>
      <w:numFmt w:val="lowerRoman"/>
      <w:lvlText w:val="%9."/>
      <w:lvlJc w:val="right"/>
      <w:pPr>
        <w:ind w:left="6480" w:hanging="180"/>
      </w:pPr>
    </w:lvl>
  </w:abstractNum>
  <w:abstractNum w:abstractNumId="27" w15:restartNumberingAfterBreak="0">
    <w:nsid w:val="3F684A4F"/>
    <w:multiLevelType w:val="hybridMultilevel"/>
    <w:tmpl w:val="86B08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704845"/>
    <w:multiLevelType w:val="hybridMultilevel"/>
    <w:tmpl w:val="CF8482B0"/>
    <w:lvl w:ilvl="0" w:tplc="30021B68">
      <w:start w:val="1"/>
      <w:numFmt w:val="lowerLetter"/>
      <w:lvlText w:val="%1)"/>
      <w:lvlJc w:val="left"/>
      <w:pPr>
        <w:ind w:left="2520" w:hanging="360"/>
      </w:pPr>
      <w:rPr>
        <w:rFonts w:ascii="Times New Roman" w:eastAsia="Times New Roman" w:hAnsi="Times New Roman" w:cs="Times New Roman"/>
        <w:b w:val="0"/>
        <w:sz w:val="24"/>
        <w:szCs w:val="24"/>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4ADB7841"/>
    <w:multiLevelType w:val="hybridMultilevel"/>
    <w:tmpl w:val="814602CC"/>
    <w:lvl w:ilvl="0" w:tplc="7E7AB4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F370D8"/>
    <w:multiLevelType w:val="hybridMultilevel"/>
    <w:tmpl w:val="2C6C8E52"/>
    <w:lvl w:ilvl="0" w:tplc="61CEB1C2">
      <w:start w:val="1"/>
      <w:numFmt w:val="upperLetter"/>
      <w:lvlText w:val="%1."/>
      <w:lvlJc w:val="left"/>
      <w:pPr>
        <w:ind w:left="420" w:hanging="360"/>
      </w:pPr>
      <w:rPr>
        <w:rFonts w:ascii="Times New Roman" w:hAnsi="Times New Roman" w:cs="Times New Roman" w:hint="default"/>
        <w:b/>
        <w:sz w:val="24"/>
        <w:szCs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15:restartNumberingAfterBreak="0">
    <w:nsid w:val="6B783AB1"/>
    <w:multiLevelType w:val="hybridMultilevel"/>
    <w:tmpl w:val="9F0400BE"/>
    <w:lvl w:ilvl="0" w:tplc="F416A2A4">
      <w:start w:val="2"/>
      <w:numFmt w:val="lowerLetter"/>
      <w:lvlText w:val="%1)"/>
      <w:lvlJc w:val="left"/>
      <w:pPr>
        <w:ind w:left="1080" w:hanging="360"/>
      </w:pPr>
      <w:rPr>
        <w:rFonts w:ascii="Times New Roman" w:hAnsi="Times New Roman" w:cs="Times New Roman"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8CE3A2B"/>
    <w:multiLevelType w:val="hybridMultilevel"/>
    <w:tmpl w:val="BED20E2A"/>
    <w:lvl w:ilvl="0" w:tplc="9D647A8A">
      <w:start w:val="1"/>
      <w:numFmt w:val="upp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7907751">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8454613">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2069766524">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1140658363">
    <w:abstractNumId w:val="28"/>
  </w:num>
  <w:num w:numId="5" w16cid:durableId="1890651239">
    <w:abstractNumId w:val="32"/>
  </w:num>
  <w:num w:numId="6" w16cid:durableId="1445688670">
    <w:abstractNumId w:val="30"/>
  </w:num>
  <w:num w:numId="7" w16cid:durableId="968628127">
    <w:abstractNumId w:val="25"/>
  </w:num>
  <w:num w:numId="8" w16cid:durableId="357001320">
    <w:abstractNumId w:val="24"/>
  </w:num>
  <w:num w:numId="9" w16cid:durableId="1065227932">
    <w:abstractNumId w:val="23"/>
  </w:num>
  <w:num w:numId="10" w16cid:durableId="345062676">
    <w:abstractNumId w:val="31"/>
  </w:num>
  <w:num w:numId="11" w16cid:durableId="363680116">
    <w:abstractNumId w:val="29"/>
  </w:num>
  <w:num w:numId="12" w16cid:durableId="1208686714">
    <w:abstractNumId w:val="27"/>
  </w:num>
  <w:num w:numId="13" w16cid:durableId="616301843">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gutterAtTop/>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419"/>
    <w:rsid w:val="000042C8"/>
    <w:rsid w:val="00006A84"/>
    <w:rsid w:val="00011F9B"/>
    <w:rsid w:val="0001491A"/>
    <w:rsid w:val="00016714"/>
    <w:rsid w:val="00021643"/>
    <w:rsid w:val="00057A79"/>
    <w:rsid w:val="0006466E"/>
    <w:rsid w:val="00065BB8"/>
    <w:rsid w:val="000762FE"/>
    <w:rsid w:val="000871D9"/>
    <w:rsid w:val="00087248"/>
    <w:rsid w:val="000A7B39"/>
    <w:rsid w:val="000B7AA9"/>
    <w:rsid w:val="000D45C6"/>
    <w:rsid w:val="000E52DB"/>
    <w:rsid w:val="000F28AC"/>
    <w:rsid w:val="00107C11"/>
    <w:rsid w:val="00111DB9"/>
    <w:rsid w:val="0012023C"/>
    <w:rsid w:val="00122CDD"/>
    <w:rsid w:val="00122DB9"/>
    <w:rsid w:val="00144C04"/>
    <w:rsid w:val="00177A0A"/>
    <w:rsid w:val="00177DD4"/>
    <w:rsid w:val="00191C39"/>
    <w:rsid w:val="0019350D"/>
    <w:rsid w:val="001A253E"/>
    <w:rsid w:val="001A35DD"/>
    <w:rsid w:val="001B6071"/>
    <w:rsid w:val="001C54FB"/>
    <w:rsid w:val="001E3D72"/>
    <w:rsid w:val="001F056A"/>
    <w:rsid w:val="00217001"/>
    <w:rsid w:val="00231F16"/>
    <w:rsid w:val="002807D2"/>
    <w:rsid w:val="0028166F"/>
    <w:rsid w:val="00284631"/>
    <w:rsid w:val="002B0C9A"/>
    <w:rsid w:val="002B1855"/>
    <w:rsid w:val="002B7964"/>
    <w:rsid w:val="002C2535"/>
    <w:rsid w:val="002E4660"/>
    <w:rsid w:val="002F740B"/>
    <w:rsid w:val="003076AC"/>
    <w:rsid w:val="003145BE"/>
    <w:rsid w:val="00322015"/>
    <w:rsid w:val="003312C2"/>
    <w:rsid w:val="00353F75"/>
    <w:rsid w:val="00360B73"/>
    <w:rsid w:val="00362F38"/>
    <w:rsid w:val="00366B2D"/>
    <w:rsid w:val="0037150F"/>
    <w:rsid w:val="00384419"/>
    <w:rsid w:val="00391F38"/>
    <w:rsid w:val="0039566C"/>
    <w:rsid w:val="003A0045"/>
    <w:rsid w:val="003B0162"/>
    <w:rsid w:val="003B34E4"/>
    <w:rsid w:val="003C0727"/>
    <w:rsid w:val="003D2591"/>
    <w:rsid w:val="003D6402"/>
    <w:rsid w:val="003F32DA"/>
    <w:rsid w:val="003F59F6"/>
    <w:rsid w:val="00420E75"/>
    <w:rsid w:val="004226A5"/>
    <w:rsid w:val="004331DD"/>
    <w:rsid w:val="00440CCF"/>
    <w:rsid w:val="004410EF"/>
    <w:rsid w:val="00441844"/>
    <w:rsid w:val="00441B64"/>
    <w:rsid w:val="00471B8B"/>
    <w:rsid w:val="00481B6D"/>
    <w:rsid w:val="004A4033"/>
    <w:rsid w:val="004A6AD9"/>
    <w:rsid w:val="004C2D76"/>
    <w:rsid w:val="004D5DAB"/>
    <w:rsid w:val="004E298F"/>
    <w:rsid w:val="00561C12"/>
    <w:rsid w:val="005716B7"/>
    <w:rsid w:val="005732C6"/>
    <w:rsid w:val="00574267"/>
    <w:rsid w:val="00584B8F"/>
    <w:rsid w:val="0059583E"/>
    <w:rsid w:val="005D2935"/>
    <w:rsid w:val="005E711D"/>
    <w:rsid w:val="00606C82"/>
    <w:rsid w:val="00617A37"/>
    <w:rsid w:val="00627E1A"/>
    <w:rsid w:val="00666EFC"/>
    <w:rsid w:val="00670755"/>
    <w:rsid w:val="006763F2"/>
    <w:rsid w:val="006971D7"/>
    <w:rsid w:val="006C3C0D"/>
    <w:rsid w:val="006C42E7"/>
    <w:rsid w:val="006D1114"/>
    <w:rsid w:val="006F1C04"/>
    <w:rsid w:val="006F4646"/>
    <w:rsid w:val="00705ED8"/>
    <w:rsid w:val="0071343A"/>
    <w:rsid w:val="007138E2"/>
    <w:rsid w:val="00722E12"/>
    <w:rsid w:val="007652ED"/>
    <w:rsid w:val="0076799A"/>
    <w:rsid w:val="00781649"/>
    <w:rsid w:val="007827D9"/>
    <w:rsid w:val="00791601"/>
    <w:rsid w:val="007948A2"/>
    <w:rsid w:val="0079608D"/>
    <w:rsid w:val="007B72AC"/>
    <w:rsid w:val="007C2FF6"/>
    <w:rsid w:val="007D05B1"/>
    <w:rsid w:val="007D6E3C"/>
    <w:rsid w:val="007D7E1B"/>
    <w:rsid w:val="007E0DFC"/>
    <w:rsid w:val="007E7919"/>
    <w:rsid w:val="0080265D"/>
    <w:rsid w:val="00802BA3"/>
    <w:rsid w:val="0080518C"/>
    <w:rsid w:val="00806D7A"/>
    <w:rsid w:val="0081070C"/>
    <w:rsid w:val="00833C72"/>
    <w:rsid w:val="0083761B"/>
    <w:rsid w:val="00841FA4"/>
    <w:rsid w:val="00856A7D"/>
    <w:rsid w:val="00857801"/>
    <w:rsid w:val="008600A2"/>
    <w:rsid w:val="00866CAC"/>
    <w:rsid w:val="00875EB0"/>
    <w:rsid w:val="008805F8"/>
    <w:rsid w:val="00890140"/>
    <w:rsid w:val="008A591F"/>
    <w:rsid w:val="008B5F16"/>
    <w:rsid w:val="008C012C"/>
    <w:rsid w:val="008C71B3"/>
    <w:rsid w:val="008D6608"/>
    <w:rsid w:val="008E16A1"/>
    <w:rsid w:val="008F628A"/>
    <w:rsid w:val="008F7DF1"/>
    <w:rsid w:val="00901A69"/>
    <w:rsid w:val="009421AF"/>
    <w:rsid w:val="0095273E"/>
    <w:rsid w:val="0095568A"/>
    <w:rsid w:val="00976FC7"/>
    <w:rsid w:val="0098167D"/>
    <w:rsid w:val="00993991"/>
    <w:rsid w:val="009951AA"/>
    <w:rsid w:val="009A25A8"/>
    <w:rsid w:val="009A7048"/>
    <w:rsid w:val="009A7AEE"/>
    <w:rsid w:val="009C327C"/>
    <w:rsid w:val="009C3775"/>
    <w:rsid w:val="009D79D6"/>
    <w:rsid w:val="009F3D6E"/>
    <w:rsid w:val="009F4740"/>
    <w:rsid w:val="009F583B"/>
    <w:rsid w:val="00A0254B"/>
    <w:rsid w:val="00A2613A"/>
    <w:rsid w:val="00A30D8F"/>
    <w:rsid w:val="00A3438E"/>
    <w:rsid w:val="00A35A0A"/>
    <w:rsid w:val="00A62866"/>
    <w:rsid w:val="00A706D4"/>
    <w:rsid w:val="00A71F84"/>
    <w:rsid w:val="00A76737"/>
    <w:rsid w:val="00A84949"/>
    <w:rsid w:val="00A95886"/>
    <w:rsid w:val="00AA058B"/>
    <w:rsid w:val="00AB3B47"/>
    <w:rsid w:val="00AC04FE"/>
    <w:rsid w:val="00AE4037"/>
    <w:rsid w:val="00AF245F"/>
    <w:rsid w:val="00AF38EE"/>
    <w:rsid w:val="00AF699B"/>
    <w:rsid w:val="00B01D72"/>
    <w:rsid w:val="00B15590"/>
    <w:rsid w:val="00B25B29"/>
    <w:rsid w:val="00B32E16"/>
    <w:rsid w:val="00B439A8"/>
    <w:rsid w:val="00B46B53"/>
    <w:rsid w:val="00B5710E"/>
    <w:rsid w:val="00B74A29"/>
    <w:rsid w:val="00B77F42"/>
    <w:rsid w:val="00B83031"/>
    <w:rsid w:val="00BA33BE"/>
    <w:rsid w:val="00BA4BB3"/>
    <w:rsid w:val="00BB478F"/>
    <w:rsid w:val="00BC569D"/>
    <w:rsid w:val="00BF560D"/>
    <w:rsid w:val="00C05890"/>
    <w:rsid w:val="00C06BA4"/>
    <w:rsid w:val="00C10D88"/>
    <w:rsid w:val="00C47B8E"/>
    <w:rsid w:val="00C510E1"/>
    <w:rsid w:val="00C52A28"/>
    <w:rsid w:val="00C71D2F"/>
    <w:rsid w:val="00C83FA6"/>
    <w:rsid w:val="00C854A6"/>
    <w:rsid w:val="00C85F48"/>
    <w:rsid w:val="00C90CD5"/>
    <w:rsid w:val="00C915A9"/>
    <w:rsid w:val="00C95B09"/>
    <w:rsid w:val="00C968E8"/>
    <w:rsid w:val="00CC13C5"/>
    <w:rsid w:val="00CC2B8A"/>
    <w:rsid w:val="00CC4FF8"/>
    <w:rsid w:val="00CE37FE"/>
    <w:rsid w:val="00D10CB1"/>
    <w:rsid w:val="00D302A8"/>
    <w:rsid w:val="00D3236B"/>
    <w:rsid w:val="00D336C1"/>
    <w:rsid w:val="00D4161B"/>
    <w:rsid w:val="00D4447C"/>
    <w:rsid w:val="00D77282"/>
    <w:rsid w:val="00D97D16"/>
    <w:rsid w:val="00DA34DB"/>
    <w:rsid w:val="00DE11D1"/>
    <w:rsid w:val="00E12502"/>
    <w:rsid w:val="00E54524"/>
    <w:rsid w:val="00E76C8A"/>
    <w:rsid w:val="00E86774"/>
    <w:rsid w:val="00E961A9"/>
    <w:rsid w:val="00EB0279"/>
    <w:rsid w:val="00EB1AA8"/>
    <w:rsid w:val="00EB44BB"/>
    <w:rsid w:val="00EC38FD"/>
    <w:rsid w:val="00ED0475"/>
    <w:rsid w:val="00EE11FE"/>
    <w:rsid w:val="00EE6C69"/>
    <w:rsid w:val="00F0141A"/>
    <w:rsid w:val="00F01795"/>
    <w:rsid w:val="00F32FA4"/>
    <w:rsid w:val="00F347ED"/>
    <w:rsid w:val="00F64FAA"/>
    <w:rsid w:val="00F655B8"/>
    <w:rsid w:val="00F82BE8"/>
    <w:rsid w:val="00F947B4"/>
    <w:rsid w:val="00FB6242"/>
    <w:rsid w:val="00FC08A2"/>
    <w:rsid w:val="00FC0C19"/>
    <w:rsid w:val="00FC162E"/>
    <w:rsid w:val="00FE2F83"/>
    <w:rsid w:val="00FE4F33"/>
    <w:rsid w:val="00FF50CA"/>
    <w:rsid w:val="01C018A2"/>
    <w:rsid w:val="042CA0E5"/>
    <w:rsid w:val="04524663"/>
    <w:rsid w:val="04F7B964"/>
    <w:rsid w:val="09CAC4E5"/>
    <w:rsid w:val="0A6CAE6A"/>
    <w:rsid w:val="0CD06FF7"/>
    <w:rsid w:val="0D3CAFBE"/>
    <w:rsid w:val="0DDC2E91"/>
    <w:rsid w:val="10FC067D"/>
    <w:rsid w:val="1232C726"/>
    <w:rsid w:val="12A0FCF1"/>
    <w:rsid w:val="12E2C21A"/>
    <w:rsid w:val="15448DA3"/>
    <w:rsid w:val="166F0345"/>
    <w:rsid w:val="168A4C0A"/>
    <w:rsid w:val="16C4A70B"/>
    <w:rsid w:val="17A6FC56"/>
    <w:rsid w:val="1A4A5B57"/>
    <w:rsid w:val="1C42849C"/>
    <w:rsid w:val="1C57B948"/>
    <w:rsid w:val="212B2A6B"/>
    <w:rsid w:val="2134B63F"/>
    <w:rsid w:val="22C6FACC"/>
    <w:rsid w:val="23CA0292"/>
    <w:rsid w:val="252BF935"/>
    <w:rsid w:val="2A1C7E51"/>
    <w:rsid w:val="2B81A203"/>
    <w:rsid w:val="2D61A005"/>
    <w:rsid w:val="34999F38"/>
    <w:rsid w:val="366A970F"/>
    <w:rsid w:val="382B0A67"/>
    <w:rsid w:val="3890C083"/>
    <w:rsid w:val="38B5A36E"/>
    <w:rsid w:val="394A6A16"/>
    <w:rsid w:val="3BDB8DCC"/>
    <w:rsid w:val="3CA4488B"/>
    <w:rsid w:val="3D5E9B72"/>
    <w:rsid w:val="3E61A338"/>
    <w:rsid w:val="3FC399DB"/>
    <w:rsid w:val="415F6A3C"/>
    <w:rsid w:val="458F9F12"/>
    <w:rsid w:val="49C5CD89"/>
    <w:rsid w:val="4A4A7B74"/>
    <w:rsid w:val="4A5817F6"/>
    <w:rsid w:val="4B750326"/>
    <w:rsid w:val="4D863896"/>
    <w:rsid w:val="55214296"/>
    <w:rsid w:val="57CD6D95"/>
    <w:rsid w:val="59530274"/>
    <w:rsid w:val="596330D5"/>
    <w:rsid w:val="5BE85FC1"/>
    <w:rsid w:val="5C3A6288"/>
    <w:rsid w:val="673B83F1"/>
    <w:rsid w:val="6B5579FE"/>
    <w:rsid w:val="6C7BB3CF"/>
    <w:rsid w:val="6D2DE6A4"/>
    <w:rsid w:val="6F45295E"/>
    <w:rsid w:val="715B7DE5"/>
    <w:rsid w:val="7286271F"/>
    <w:rsid w:val="74CC9C3B"/>
    <w:rsid w:val="74EACAD5"/>
    <w:rsid w:val="76F34D21"/>
    <w:rsid w:val="7DE20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E4B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locked/>
    <w:pPr>
      <w:keepNext/>
      <w:keepLines/>
      <w:widowControl/>
      <w:autoSpaceDE/>
      <w:autoSpaceDN/>
      <w:adjustRightInd/>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9"/>
    <w:qFormat/>
    <w:locked/>
    <w:pPr>
      <w:keepNext/>
      <w:keepLines/>
      <w:spacing w:before="200"/>
      <w:outlineLvl w:val="1"/>
    </w:pPr>
    <w:rPr>
      <w:rFonts w:ascii="Cambria" w:hAnsi="Cambria"/>
      <w:b/>
      <w:bCs/>
      <w:color w:val="1D1B11" w:themeColor="background2" w:themeShade="1A"/>
      <w:sz w:val="26"/>
      <w:szCs w:val="26"/>
    </w:rPr>
  </w:style>
  <w:style w:type="paragraph" w:styleId="Heading3">
    <w:name w:val="heading 3"/>
    <w:basedOn w:val="Normal"/>
    <w:next w:val="Normal"/>
    <w:link w:val="Heading3Char"/>
    <w:uiPriority w:val="99"/>
    <w:qFormat/>
    <w:locked/>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Pr>
      <w:rFonts w:ascii="Cambria" w:hAnsi="Cambria"/>
      <w:b/>
      <w:bCs/>
      <w:color w:val="1D1B11" w:themeColor="background2" w:themeShade="1A"/>
      <w:sz w:val="26"/>
      <w:szCs w:val="26"/>
    </w:rPr>
  </w:style>
  <w:style w:type="character" w:customStyle="1" w:styleId="Heading3Char">
    <w:name w:val="Heading 3 Char"/>
    <w:basedOn w:val="DefaultParagraphFont"/>
    <w:link w:val="Heading3"/>
    <w:uiPriority w:val="99"/>
    <w:semiHidden/>
    <w:locked/>
    <w:rPr>
      <w:rFonts w:ascii="Cambria" w:hAnsi="Cambria" w:cs="Times New Roman"/>
      <w:b/>
      <w:bCs/>
      <w:color w:val="4F81BD"/>
      <w:sz w:val="24"/>
      <w:szCs w:val="24"/>
    </w:rPr>
  </w:style>
  <w:style w:type="character" w:styleId="FootnoteReference">
    <w:name w:val="footnote reference"/>
    <w:basedOn w:val="DefaultParagraphFont"/>
    <w:uiPriority w:val="99"/>
    <w:rPr>
      <w:rFonts w:cs="Times New Roman"/>
    </w:rPr>
  </w:style>
  <w:style w:type="paragraph" w:customStyle="1" w:styleId="Level1">
    <w:name w:val="Level 1"/>
    <w:basedOn w:val="Normal"/>
    <w:uiPriority w:val="99"/>
    <w:pPr>
      <w:numPr>
        <w:numId w:val="3"/>
      </w:numPr>
      <w:ind w:left="222" w:hanging="8"/>
      <w:outlineLvl w:val="0"/>
    </w:pPr>
  </w:style>
  <w:style w:type="paragraph" w:styleId="TOC1">
    <w:name w:val="toc 1"/>
    <w:basedOn w:val="Normal"/>
    <w:next w:val="Normal"/>
    <w:uiPriority w:val="99"/>
    <w:pPr>
      <w:spacing w:before="120" w:after="120"/>
    </w:pPr>
    <w:rPr>
      <w:rFonts w:ascii="Calibri" w:hAnsi="Calibri" w:cs="Calibri"/>
      <w:b/>
      <w:bCs/>
      <w:caps/>
      <w:sz w:val="20"/>
      <w:szCs w:val="20"/>
    </w:rPr>
  </w:style>
  <w:style w:type="paragraph" w:styleId="TOC2">
    <w:name w:val="toc 2"/>
    <w:basedOn w:val="Normal"/>
    <w:next w:val="Normal"/>
    <w:uiPriority w:val="99"/>
    <w:pPr>
      <w:ind w:left="240"/>
    </w:pPr>
    <w:rPr>
      <w:rFonts w:ascii="Calibri" w:hAnsi="Calibri" w:cs="Calibri"/>
      <w:smallCaps/>
      <w:sz w:val="20"/>
      <w:szCs w:val="20"/>
    </w:rPr>
  </w:style>
  <w:style w:type="paragraph" w:customStyle="1" w:styleId="Level2">
    <w:name w:val="Level 2"/>
    <w:basedOn w:val="Normal"/>
    <w:uiPriority w:val="99"/>
    <w:pPr>
      <w:numPr>
        <w:ilvl w:val="1"/>
        <w:numId w:val="2"/>
      </w:numPr>
      <w:ind w:left="1440" w:hanging="720"/>
      <w:outlineLvl w:val="1"/>
    </w:pPr>
  </w:style>
  <w:style w:type="paragraph" w:customStyle="1" w:styleId="Level3">
    <w:name w:val="Level 3"/>
    <w:basedOn w:val="Normal"/>
    <w:uiPriority w:val="99"/>
    <w:pPr>
      <w:numPr>
        <w:ilvl w:val="2"/>
        <w:numId w:val="1"/>
      </w:numPr>
      <w:ind w:left="2160" w:hanging="720"/>
      <w:outlineLvl w:val="2"/>
    </w:pPr>
  </w:style>
  <w:style w:type="paragraph" w:customStyle="1" w:styleId="Level4">
    <w:name w:val="Level 4"/>
    <w:basedOn w:val="Normal"/>
    <w:uiPriority w:val="99"/>
    <w:pPr>
      <w:ind w:left="2160"/>
    </w:pPr>
  </w:style>
  <w:style w:type="character" w:customStyle="1" w:styleId="QuickFormat1">
    <w:name w:val="QuickFormat1"/>
    <w:uiPriority w:val="99"/>
    <w:rPr>
      <w:rFonts w:ascii="Microsoft Uighur" w:hAnsi="Microsoft Uighur"/>
      <w:color w:val="000000"/>
      <w:sz w:val="20"/>
    </w:rPr>
  </w:style>
  <w:style w:type="paragraph" w:customStyle="1" w:styleId="a">
    <w:name w:val="_"/>
    <w:basedOn w:val="Normal"/>
    <w:uiPriority w:val="99"/>
    <w:pPr>
      <w:ind w:left="42" w:hanging="42"/>
    </w:pPr>
  </w:style>
  <w:style w:type="paragraph" w:styleId="Index1">
    <w:name w:val="index 1"/>
    <w:basedOn w:val="Normal"/>
    <w:next w:val="Normal"/>
    <w:uiPriority w:val="99"/>
    <w:pPr>
      <w:ind w:left="412" w:hanging="1440"/>
    </w:pPr>
  </w:style>
  <w:style w:type="paragraph" w:styleId="Index2">
    <w:name w:val="index 2"/>
    <w:basedOn w:val="Normal"/>
    <w:next w:val="Normal"/>
    <w:uiPriority w:val="99"/>
    <w:pPr>
      <w:ind w:left="412" w:hanging="1028"/>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ascii="Times New Roman" w:hAnsi="Times New Roman" w:cs="Times New Roman"/>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locked/>
    <w:rPr>
      <w:rFonts w:ascii="Times New Roman" w:hAnsi="Times New Roman" w:cs="Times New Roman"/>
      <w:sz w:val="24"/>
      <w:szCs w:val="24"/>
    </w:rPr>
  </w:style>
  <w:style w:type="paragraph" w:styleId="ListParagraph">
    <w:name w:val="List Paragraph"/>
    <w:basedOn w:val="Normal"/>
    <w:uiPriority w:val="34"/>
    <w:qFormat/>
    <w:pPr>
      <w:widowControl/>
      <w:autoSpaceDE/>
      <w:autoSpaceDN/>
      <w:adjustRightInd/>
      <w:spacing w:after="200" w:line="276" w:lineRule="auto"/>
      <w:ind w:left="720"/>
      <w:contextualSpacing/>
    </w:pPr>
    <w:rPr>
      <w:rFonts w:ascii="Calibri" w:hAnsi="Calibri" w:cs="Calibri"/>
      <w:sz w:val="22"/>
      <w:szCs w:val="22"/>
    </w:rPr>
  </w:style>
  <w:style w:type="character" w:customStyle="1" w:styleId="itxtrst">
    <w:name w:val="itxtrst"/>
    <w:basedOn w:val="DefaultParagraphFont"/>
    <w:uiPriority w:val="99"/>
    <w:rPr>
      <w:rFonts w:cs="Times New Roman"/>
    </w:rPr>
  </w:style>
  <w:style w:type="table" w:styleId="TableGrid">
    <w:name w:val="Table Grid"/>
    <w:basedOn w:val="TableNormal"/>
    <w:uiPriority w:val="99"/>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Pr>
      <w:rFonts w:ascii="Times New Roman" w:hAnsi="Times New Roman" w:cs="Times New Roman"/>
      <w:bCs/>
      <w:sz w:val="24"/>
      <w:szCs w:val="24"/>
    </w:rPr>
  </w:style>
  <w:style w:type="paragraph" w:customStyle="1" w:styleId="Style2">
    <w:name w:val="Style2"/>
    <w:basedOn w:val="Normal"/>
    <w:next w:val="Normal"/>
    <w:link w:val="Style2Char"/>
    <w:uiPriority w:val="99"/>
    <w:pPr>
      <w:spacing w:before="120" w:after="120"/>
      <w:ind w:left="720"/>
    </w:pPr>
  </w:style>
  <w:style w:type="character" w:customStyle="1" w:styleId="Style2Char">
    <w:name w:val="Style2 Char"/>
    <w:basedOn w:val="DefaultParagraphFont"/>
    <w:link w:val="Style2"/>
    <w:uiPriority w:val="99"/>
    <w:locked/>
    <w:rPr>
      <w:rFonts w:ascii="Times New Roman" w:hAnsi="Times New Roman" w:cs="Times New Roman"/>
      <w:sz w:val="24"/>
      <w:szCs w:val="24"/>
    </w:rPr>
  </w:style>
  <w:style w:type="character" w:styleId="Hyperlink">
    <w:name w:val="Hyperlink"/>
    <w:basedOn w:val="DefaultParagraphFont"/>
    <w:uiPriority w:val="99"/>
    <w:rPr>
      <w:rFonts w:cs="Times New Roman"/>
      <w:color w:val="0000FF"/>
      <w:u w:val="single"/>
    </w:rPr>
  </w:style>
  <w:style w:type="paragraph" w:styleId="TOAHeading">
    <w:name w:val="toa heading"/>
    <w:basedOn w:val="Normal"/>
    <w:next w:val="Normal"/>
    <w:uiPriority w:val="99"/>
    <w:pPr>
      <w:spacing w:before="120"/>
    </w:pPr>
    <w:rPr>
      <w:rFonts w:ascii="Arial" w:hAnsi="Arial" w:cs="Arial"/>
      <w:b/>
      <w:bCs/>
    </w:rPr>
  </w:style>
  <w:style w:type="paragraph" w:customStyle="1" w:styleId="StyleStyle2Left1">
    <w:name w:val="Style Style2 + Left:  1&quot;"/>
    <w:basedOn w:val="Style2"/>
    <w:uiPriority w:val="99"/>
    <w:pPr>
      <w:ind w:left="1440"/>
    </w:pPr>
    <w:rPr>
      <w:szCs w:val="20"/>
    </w:rPr>
  </w:style>
  <w:style w:type="paragraph" w:styleId="TOCHeading">
    <w:name w:val="TOC Heading"/>
    <w:basedOn w:val="Heading1"/>
    <w:next w:val="Normal"/>
    <w:uiPriority w:val="99"/>
    <w:qFormat/>
    <w:pPr>
      <w:outlineLvl w:val="9"/>
    </w:pPr>
    <w:rPr>
      <w:lang w:eastAsia="ja-JP"/>
    </w:rPr>
  </w:style>
  <w:style w:type="paragraph" w:customStyle="1" w:styleId="block1">
    <w:name w:val="block1"/>
    <w:basedOn w:val="Normal"/>
    <w:pPr>
      <w:widowControl/>
      <w:autoSpaceDE/>
      <w:autoSpaceDN/>
      <w:adjustRightInd/>
      <w:spacing w:before="100" w:beforeAutospacing="1" w:after="100" w:afterAutospacing="1"/>
    </w:pPr>
    <w:rPr>
      <w:sz w:val="19"/>
      <w:szCs w:val="19"/>
    </w:rPr>
  </w:style>
  <w:style w:type="paragraph" w:styleId="NoSpacing">
    <w:name w:val="No Spacing"/>
    <w:uiPriority w:val="1"/>
    <w:qFormat/>
  </w:style>
  <w:style w:type="paragraph" w:styleId="FootnoteText">
    <w:name w:val="footnote text"/>
    <w:basedOn w:val="Normal"/>
    <w:link w:val="FootnoteTextChar"/>
    <w:uiPriority w:val="99"/>
    <w:semiHidden/>
    <w:pPr>
      <w:widowControl/>
      <w:autoSpaceDE/>
      <w:autoSpaceDN/>
      <w:adjustRightInd/>
    </w:pPr>
    <w:rPr>
      <w:rFonts w:ascii="Calibri" w:hAnsi="Calibri"/>
      <w:sz w:val="20"/>
      <w:szCs w:val="20"/>
    </w:rPr>
  </w:style>
  <w:style w:type="character" w:customStyle="1" w:styleId="FootnoteTextChar">
    <w:name w:val="Footnote Text Char"/>
    <w:basedOn w:val="DefaultParagraphFont"/>
    <w:link w:val="FootnoteText"/>
    <w:uiPriority w:val="99"/>
    <w:semiHidden/>
    <w:locked/>
    <w:rPr>
      <w:rFonts w:eastAsia="Times New Roman" w:cs="Times New Roman"/>
      <w:sz w:val="20"/>
      <w:szCs w:val="20"/>
    </w:rPr>
  </w:style>
  <w:style w:type="paragraph" w:customStyle="1" w:styleId="Default">
    <w:name w:val="Default"/>
    <w:link w:val="DefaultChar"/>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autoSpaceDE/>
      <w:autoSpaceDN/>
      <w:adjustRightInd/>
    </w:pPr>
    <w:rPr>
      <w:rFonts w:ascii="Calibri" w:hAnsi="Calibri" w:cs="Calibri"/>
      <w:sz w:val="20"/>
      <w:szCs w:val="20"/>
    </w:rPr>
  </w:style>
  <w:style w:type="character" w:customStyle="1" w:styleId="CommentTextChar">
    <w:name w:val="Comment Text Char"/>
    <w:basedOn w:val="DefaultParagraphFont"/>
    <w:link w:val="CommentText"/>
    <w:uiPriority w:val="99"/>
    <w:semiHidden/>
    <w:locked/>
    <w:rPr>
      <w:rFonts w:eastAsia="Times New Roman" w:cs="Calibri"/>
      <w:sz w:val="20"/>
      <w:szCs w:val="20"/>
    </w:rPr>
  </w:style>
  <w:style w:type="character" w:styleId="FollowedHyperlink">
    <w:name w:val="FollowedHyperlink"/>
    <w:basedOn w:val="DefaultParagraphFont"/>
    <w:uiPriority w:val="99"/>
    <w:semiHidden/>
    <w:rPr>
      <w:rFonts w:cs="Times New Roman"/>
      <w:color w:val="800080"/>
      <w:u w:val="single"/>
    </w:rPr>
  </w:style>
  <w:style w:type="paragraph" w:styleId="TOC3">
    <w:name w:val="toc 3"/>
    <w:basedOn w:val="Normal"/>
    <w:next w:val="Normal"/>
    <w:autoRedefine/>
    <w:uiPriority w:val="99"/>
    <w:locked/>
    <w:pPr>
      <w:tabs>
        <w:tab w:val="left" w:pos="960"/>
        <w:tab w:val="right" w:leader="dot" w:pos="9350"/>
      </w:tabs>
      <w:ind w:left="480"/>
    </w:pPr>
    <w:rPr>
      <w:rFonts w:cs="Calibri"/>
      <w:i/>
      <w:iCs/>
      <w:noProof/>
    </w:rPr>
  </w:style>
  <w:style w:type="paragraph" w:styleId="TOC4">
    <w:name w:val="toc 4"/>
    <w:basedOn w:val="Normal"/>
    <w:next w:val="Normal"/>
    <w:autoRedefine/>
    <w:uiPriority w:val="99"/>
    <w:locked/>
    <w:pPr>
      <w:ind w:left="720"/>
    </w:pPr>
    <w:rPr>
      <w:rFonts w:ascii="Calibri" w:hAnsi="Calibri" w:cs="Calibri"/>
      <w:sz w:val="18"/>
      <w:szCs w:val="18"/>
    </w:rPr>
  </w:style>
  <w:style w:type="paragraph" w:styleId="TOC5">
    <w:name w:val="toc 5"/>
    <w:basedOn w:val="Normal"/>
    <w:next w:val="Normal"/>
    <w:autoRedefine/>
    <w:uiPriority w:val="99"/>
    <w:locked/>
    <w:pPr>
      <w:ind w:left="960"/>
    </w:pPr>
    <w:rPr>
      <w:rFonts w:ascii="Calibri" w:hAnsi="Calibri" w:cs="Calibri"/>
      <w:sz w:val="18"/>
      <w:szCs w:val="18"/>
    </w:rPr>
  </w:style>
  <w:style w:type="paragraph" w:styleId="TOC6">
    <w:name w:val="toc 6"/>
    <w:basedOn w:val="Normal"/>
    <w:next w:val="Normal"/>
    <w:autoRedefine/>
    <w:uiPriority w:val="99"/>
    <w:locked/>
    <w:pPr>
      <w:ind w:left="1200"/>
    </w:pPr>
    <w:rPr>
      <w:rFonts w:ascii="Calibri" w:hAnsi="Calibri" w:cs="Calibri"/>
      <w:sz w:val="18"/>
      <w:szCs w:val="18"/>
    </w:rPr>
  </w:style>
  <w:style w:type="paragraph" w:styleId="TOC7">
    <w:name w:val="toc 7"/>
    <w:basedOn w:val="Normal"/>
    <w:next w:val="Normal"/>
    <w:autoRedefine/>
    <w:uiPriority w:val="99"/>
    <w:locked/>
    <w:pPr>
      <w:ind w:left="1440"/>
    </w:pPr>
    <w:rPr>
      <w:rFonts w:ascii="Calibri" w:hAnsi="Calibri" w:cs="Calibri"/>
      <w:sz w:val="18"/>
      <w:szCs w:val="18"/>
    </w:rPr>
  </w:style>
  <w:style w:type="paragraph" w:styleId="TOC8">
    <w:name w:val="toc 8"/>
    <w:basedOn w:val="Normal"/>
    <w:next w:val="Normal"/>
    <w:autoRedefine/>
    <w:uiPriority w:val="99"/>
    <w:locked/>
    <w:pPr>
      <w:ind w:left="1680"/>
    </w:pPr>
    <w:rPr>
      <w:rFonts w:ascii="Calibri" w:hAnsi="Calibri" w:cs="Calibri"/>
      <w:sz w:val="18"/>
      <w:szCs w:val="18"/>
    </w:rPr>
  </w:style>
  <w:style w:type="paragraph" w:styleId="TOC9">
    <w:name w:val="toc 9"/>
    <w:basedOn w:val="Normal"/>
    <w:next w:val="Normal"/>
    <w:autoRedefine/>
    <w:uiPriority w:val="99"/>
    <w:locked/>
    <w:pPr>
      <w:ind w:left="1920"/>
    </w:pPr>
    <w:rPr>
      <w:rFonts w:ascii="Calibri" w:hAnsi="Calibri" w:cs="Calibri"/>
      <w:sz w:val="18"/>
      <w:szCs w:val="18"/>
    </w:rPr>
  </w:style>
  <w:style w:type="paragraph" w:styleId="CommentSubject">
    <w:name w:val="annotation subject"/>
    <w:basedOn w:val="CommentText"/>
    <w:next w:val="CommentText"/>
    <w:link w:val="CommentSubjectChar"/>
    <w:uiPriority w:val="99"/>
    <w:semiHidden/>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Pr>
      <w:rFonts w:ascii="Times New Roman" w:eastAsia="Times New Roman" w:hAnsi="Times New Roman" w:cs="Calibri"/>
      <w:b/>
      <w:bCs/>
      <w:sz w:val="20"/>
      <w:szCs w:val="20"/>
    </w:rPr>
  </w:style>
  <w:style w:type="table" w:customStyle="1" w:styleId="TableGrid1">
    <w:name w:val="Table Grid1"/>
    <w:basedOn w:val="TableNormal"/>
    <w:next w:val="TableGrid"/>
    <w:uiPriority w:val="5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Times New Roman" w:hAnsi="Times New Roman"/>
      <w:sz w:val="24"/>
      <w:szCs w:val="24"/>
    </w:rPr>
  </w:style>
  <w:style w:type="character" w:styleId="SubtleReference">
    <w:name w:val="Subtle Reference"/>
    <w:basedOn w:val="DefaultParagraphFont"/>
    <w:uiPriority w:val="31"/>
    <w:qFormat/>
    <w:rPr>
      <w:smallCaps/>
      <w:color w:val="C0504D" w:themeColor="accent2"/>
      <w:u w:val="single"/>
    </w:rPr>
  </w:style>
  <w:style w:type="paragraph" w:styleId="NormalWeb">
    <w:name w:val="Normal (Web)"/>
    <w:basedOn w:val="Normal"/>
    <w:uiPriority w:val="99"/>
    <w:unhideWhenUsed/>
  </w:style>
  <w:style w:type="table" w:customStyle="1" w:styleId="TableGrid5">
    <w:name w:val="Table Grid5"/>
    <w:basedOn w:val="TableNormal"/>
    <w:next w:val="TableGrid"/>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DefaultChar">
    <w:name w:val="Default Char"/>
    <w:basedOn w:val="DefaultParagraphFont"/>
    <w:link w:val="Default"/>
    <w:locked/>
    <w:rPr>
      <w:rFonts w:ascii="Times New Roman" w:hAnsi="Times New Roman"/>
      <w:color w:val="000000"/>
      <w:sz w:val="24"/>
      <w:szCs w:val="24"/>
    </w:rPr>
  </w:style>
  <w:style w:type="character" w:styleId="Emphasis">
    <w:name w:val="Emphasis"/>
    <w:basedOn w:val="DefaultParagraphFont"/>
    <w:uiPriority w:val="20"/>
    <w:qFormat/>
    <w:locked/>
    <w:rPr>
      <w:i/>
      <w:iCs/>
    </w:rPr>
  </w:style>
  <w:style w:type="paragraph" w:styleId="BodyText">
    <w:name w:val="Body Text"/>
    <w:basedOn w:val="Normal"/>
    <w:link w:val="BodyTextChar"/>
    <w:uiPriority w:val="1"/>
    <w:qFormat/>
    <w:pPr>
      <w:widowControl/>
      <w:ind w:left="73" w:firstLine="10"/>
    </w:pPr>
    <w:rPr>
      <w:sz w:val="19"/>
      <w:szCs w:val="19"/>
    </w:rPr>
  </w:style>
  <w:style w:type="character" w:customStyle="1" w:styleId="BodyTextChar">
    <w:name w:val="Body Text Char"/>
    <w:basedOn w:val="DefaultParagraphFont"/>
    <w:link w:val="BodyText"/>
    <w:uiPriority w:val="1"/>
    <w:rPr>
      <w:rFonts w:ascii="Times New Roman" w:hAnsi="Times New Roman"/>
      <w:sz w:val="19"/>
      <w:szCs w:val="19"/>
    </w:rPr>
  </w:style>
  <w:style w:type="table" w:customStyle="1" w:styleId="GridTable41">
    <w:name w:val="Grid Table 41"/>
    <w:basedOn w:val="TableNormal"/>
    <w:next w:val="GridTable4"/>
    <w:uiPriority w:val="49"/>
    <w:rsid w:val="00F0179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Strong">
    <w:name w:val="Strong"/>
    <w:basedOn w:val="DefaultParagraphFont"/>
    <w:qFormat/>
    <w:locked/>
    <w:rsid w:val="009556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6694">
      <w:bodyDiv w:val="1"/>
      <w:marLeft w:val="0"/>
      <w:marRight w:val="0"/>
      <w:marTop w:val="0"/>
      <w:marBottom w:val="0"/>
      <w:divBdr>
        <w:top w:val="none" w:sz="0" w:space="0" w:color="auto"/>
        <w:left w:val="none" w:sz="0" w:space="0" w:color="auto"/>
        <w:bottom w:val="none" w:sz="0" w:space="0" w:color="auto"/>
        <w:right w:val="none" w:sz="0" w:space="0" w:color="auto"/>
      </w:divBdr>
    </w:div>
    <w:div w:id="75513854">
      <w:bodyDiv w:val="1"/>
      <w:marLeft w:val="0"/>
      <w:marRight w:val="0"/>
      <w:marTop w:val="0"/>
      <w:marBottom w:val="0"/>
      <w:divBdr>
        <w:top w:val="none" w:sz="0" w:space="0" w:color="auto"/>
        <w:left w:val="none" w:sz="0" w:space="0" w:color="auto"/>
        <w:bottom w:val="none" w:sz="0" w:space="0" w:color="auto"/>
        <w:right w:val="none" w:sz="0" w:space="0" w:color="auto"/>
      </w:divBdr>
    </w:div>
    <w:div w:id="76170769">
      <w:bodyDiv w:val="1"/>
      <w:marLeft w:val="0"/>
      <w:marRight w:val="0"/>
      <w:marTop w:val="0"/>
      <w:marBottom w:val="0"/>
      <w:divBdr>
        <w:top w:val="none" w:sz="0" w:space="0" w:color="auto"/>
        <w:left w:val="none" w:sz="0" w:space="0" w:color="auto"/>
        <w:bottom w:val="none" w:sz="0" w:space="0" w:color="auto"/>
        <w:right w:val="none" w:sz="0" w:space="0" w:color="auto"/>
      </w:divBdr>
    </w:div>
    <w:div w:id="86078824">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427698110">
      <w:bodyDiv w:val="1"/>
      <w:marLeft w:val="0"/>
      <w:marRight w:val="0"/>
      <w:marTop w:val="0"/>
      <w:marBottom w:val="0"/>
      <w:divBdr>
        <w:top w:val="none" w:sz="0" w:space="0" w:color="auto"/>
        <w:left w:val="none" w:sz="0" w:space="0" w:color="auto"/>
        <w:bottom w:val="none" w:sz="0" w:space="0" w:color="auto"/>
        <w:right w:val="none" w:sz="0" w:space="0" w:color="auto"/>
      </w:divBdr>
    </w:div>
    <w:div w:id="481386387">
      <w:bodyDiv w:val="1"/>
      <w:marLeft w:val="0"/>
      <w:marRight w:val="0"/>
      <w:marTop w:val="0"/>
      <w:marBottom w:val="0"/>
      <w:divBdr>
        <w:top w:val="none" w:sz="0" w:space="0" w:color="auto"/>
        <w:left w:val="none" w:sz="0" w:space="0" w:color="auto"/>
        <w:bottom w:val="none" w:sz="0" w:space="0" w:color="auto"/>
        <w:right w:val="none" w:sz="0" w:space="0" w:color="auto"/>
      </w:divBdr>
    </w:div>
    <w:div w:id="514222903">
      <w:bodyDiv w:val="1"/>
      <w:marLeft w:val="0"/>
      <w:marRight w:val="0"/>
      <w:marTop w:val="0"/>
      <w:marBottom w:val="0"/>
      <w:divBdr>
        <w:top w:val="none" w:sz="0" w:space="0" w:color="auto"/>
        <w:left w:val="none" w:sz="0" w:space="0" w:color="auto"/>
        <w:bottom w:val="none" w:sz="0" w:space="0" w:color="auto"/>
        <w:right w:val="none" w:sz="0" w:space="0" w:color="auto"/>
      </w:divBdr>
    </w:div>
    <w:div w:id="587927613">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024752188">
      <w:bodyDiv w:val="1"/>
      <w:marLeft w:val="0"/>
      <w:marRight w:val="0"/>
      <w:marTop w:val="0"/>
      <w:marBottom w:val="0"/>
      <w:divBdr>
        <w:top w:val="none" w:sz="0" w:space="0" w:color="auto"/>
        <w:left w:val="none" w:sz="0" w:space="0" w:color="auto"/>
        <w:bottom w:val="none" w:sz="0" w:space="0" w:color="auto"/>
        <w:right w:val="none" w:sz="0" w:space="0" w:color="auto"/>
      </w:divBdr>
    </w:div>
    <w:div w:id="1136140746">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 w:id="1175420418">
      <w:bodyDiv w:val="1"/>
      <w:marLeft w:val="0"/>
      <w:marRight w:val="0"/>
      <w:marTop w:val="0"/>
      <w:marBottom w:val="0"/>
      <w:divBdr>
        <w:top w:val="none" w:sz="0" w:space="0" w:color="auto"/>
        <w:left w:val="none" w:sz="0" w:space="0" w:color="auto"/>
        <w:bottom w:val="none" w:sz="0" w:space="0" w:color="auto"/>
        <w:right w:val="none" w:sz="0" w:space="0" w:color="auto"/>
      </w:divBdr>
    </w:div>
    <w:div w:id="1241138325">
      <w:bodyDiv w:val="1"/>
      <w:marLeft w:val="0"/>
      <w:marRight w:val="0"/>
      <w:marTop w:val="0"/>
      <w:marBottom w:val="0"/>
      <w:divBdr>
        <w:top w:val="none" w:sz="0" w:space="0" w:color="auto"/>
        <w:left w:val="none" w:sz="0" w:space="0" w:color="auto"/>
        <w:bottom w:val="none" w:sz="0" w:space="0" w:color="auto"/>
        <w:right w:val="none" w:sz="0" w:space="0" w:color="auto"/>
      </w:divBdr>
    </w:div>
    <w:div w:id="1428425968">
      <w:bodyDiv w:val="1"/>
      <w:marLeft w:val="0"/>
      <w:marRight w:val="0"/>
      <w:marTop w:val="0"/>
      <w:marBottom w:val="0"/>
      <w:divBdr>
        <w:top w:val="none" w:sz="0" w:space="0" w:color="auto"/>
        <w:left w:val="none" w:sz="0" w:space="0" w:color="auto"/>
        <w:bottom w:val="none" w:sz="0" w:space="0" w:color="auto"/>
        <w:right w:val="none" w:sz="0" w:space="0" w:color="auto"/>
      </w:divBdr>
    </w:div>
    <w:div w:id="1632009770">
      <w:bodyDiv w:val="1"/>
      <w:marLeft w:val="0"/>
      <w:marRight w:val="0"/>
      <w:marTop w:val="0"/>
      <w:marBottom w:val="0"/>
      <w:divBdr>
        <w:top w:val="none" w:sz="0" w:space="0" w:color="auto"/>
        <w:left w:val="none" w:sz="0" w:space="0" w:color="auto"/>
        <w:bottom w:val="none" w:sz="0" w:space="0" w:color="auto"/>
        <w:right w:val="none" w:sz="0" w:space="0" w:color="auto"/>
      </w:divBdr>
    </w:div>
    <w:div w:id="179051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usdol-my.sharepoint.com/personal/morton_kim_dol_gov/Documents/NC%20and%20SC%20State%20Plan/FAMe%20FY%2021/SC%20FAME/SC%20FY%2021%20Comprehensive%20FAME%20Report%20Template%20(508-Compliant)%203-5-22.docx" TargetMode="External"/><Relationship Id="rId18" Type="http://schemas.openxmlformats.org/officeDocument/2006/relationships/hyperlink" Target="https://usdol-my.sharepoint.com/personal/morton_kim_dol_gov/Documents/NC%20and%20SC%20State%20Plan/FAMe%20FY%2021/SC%20FAME/SC%20FY%2021%20Comprehensive%20FAME%20Report%20Template%20(508-Compliant)%203-5-22.docx" TargetMode="External"/><Relationship Id="rId26" Type="http://schemas.openxmlformats.org/officeDocument/2006/relationships/footer" Target="footer2.xml"/><Relationship Id="rId39"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yperlink" Target="https://usdol-my.sharepoint.com/personal/morton_kim_dol_gov/Documents/NC%20and%20SC%20State%20Plan/FAMe%20FY%2021/SC%20FAME/SC%20FY%2021%20Comprehensive%20FAME%20Report%20Template%20(508-Compliant)%203-5-22.docx" TargetMode="External"/><Relationship Id="rId34" Type="http://schemas.openxmlformats.org/officeDocument/2006/relationships/footer" Target="footer6.xm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usdol-my.sharepoint.com/personal/morton_kim_dol_gov/Documents/NC%20and%20SC%20State%20Plan/FAMe%20FY%2021/SC%20FAME/SC%20FY%2021%20Comprehensive%20FAME%20Report%20Template%20(508-Compliant)%203-5-22.docx" TargetMode="External"/><Relationship Id="rId17" Type="http://schemas.openxmlformats.org/officeDocument/2006/relationships/hyperlink" Target="https://usdol-my.sharepoint.com/personal/morton_kim_dol_gov/Documents/NC%20and%20SC%20State%20Plan/FAMe%20FY%2021/SC%20FAME/SC%20FY%2021%20Comprehensive%20FAME%20Report%20Template%20(508-Compliant)%203-5-22.docx" TargetMode="External"/><Relationship Id="rId25" Type="http://schemas.openxmlformats.org/officeDocument/2006/relationships/footer" Target="footer1.xml"/><Relationship Id="rId33" Type="http://schemas.openxmlformats.org/officeDocument/2006/relationships/header" Target="header4.xml"/><Relationship Id="rId38" Type="http://schemas.openxmlformats.org/officeDocument/2006/relationships/footer" Target="footer8.xml"/><Relationship Id="rId2" Type="http://schemas.openxmlformats.org/officeDocument/2006/relationships/styles" Target="styles.xml"/><Relationship Id="rId16" Type="http://schemas.openxmlformats.org/officeDocument/2006/relationships/hyperlink" Target="https://usdol-my.sharepoint.com/personal/morton_kim_dol_gov/Documents/NC%20and%20SC%20State%20Plan/FAMe%20FY%2021/SC%20FAME/SC%20FY%2021%20Comprehensive%20FAME%20Report%20Template%20(508-Compliant)%203-5-22.docx" TargetMode="External"/><Relationship Id="rId20" Type="http://schemas.openxmlformats.org/officeDocument/2006/relationships/hyperlink" Target="https://usdol-my.sharepoint.com/personal/morton_kim_dol_gov/Documents/NC%20and%20SC%20State%20Plan/FAMe%20FY%2021/SC%20FAME/SC%20FY%2021%20Comprehensive%20FAME%20Report%20Template%20(508-Compliant)%203-5-22.docx" TargetMode="External"/><Relationship Id="rId29" Type="http://schemas.openxmlformats.org/officeDocument/2006/relationships/header" Target="header2.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dol-my.sharepoint.com/personal/morton_kim_dol_gov/Documents/NC%20and%20SC%20State%20Plan/FAMe%20FY%2021/SC%20FAME/SC%20FY%2021%20Comprehensive%20FAME%20Report%20Template%20(508-Compliant)%203-5-22.docx" TargetMode="External"/><Relationship Id="rId24" Type="http://schemas.openxmlformats.org/officeDocument/2006/relationships/hyperlink" Target="https://usdol-my.sharepoint.com/personal/morton_kim_dol_gov/Documents/NC%20and%20SC%20State%20Plan/FAMe%20FY%2021/SC%20FAME/SC%20FY%2021%20Comprehensive%20FAME%20Report%20Template%20(508-Compliant)%203-5-22.docx" TargetMode="External"/><Relationship Id="rId32" Type="http://schemas.openxmlformats.org/officeDocument/2006/relationships/footer" Target="footer5.xml"/><Relationship Id="rId37" Type="http://schemas.openxmlformats.org/officeDocument/2006/relationships/header" Target="header6.xml"/><Relationship Id="rId40"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yperlink" Target="https://usdol-my.sharepoint.com/personal/morton_kim_dol_gov/Documents/NC%20and%20SC%20State%20Plan/FAMe%20FY%2021/SC%20FAME/SC%20FY%2021%20Comprehensive%20FAME%20Report%20Template%20(508-Compliant)%203-5-22.docx" TargetMode="External"/><Relationship Id="rId23" Type="http://schemas.openxmlformats.org/officeDocument/2006/relationships/hyperlink" Target="https://usdol-my.sharepoint.com/personal/morton_kim_dol_gov/Documents/NC%20and%20SC%20State%20Plan/FAMe%20FY%2021/SC%20FAME/SC%20FY%2021%20Comprehensive%20FAME%20Report%20Template%20(508-Compliant)%203-5-22.docx" TargetMode="External"/><Relationship Id="rId28" Type="http://schemas.openxmlformats.org/officeDocument/2006/relationships/footer" Target="footer3.xml"/><Relationship Id="rId36" Type="http://schemas.openxmlformats.org/officeDocument/2006/relationships/footer" Target="footer7.xml"/><Relationship Id="rId10" Type="http://schemas.openxmlformats.org/officeDocument/2006/relationships/hyperlink" Target="https://usdol-my.sharepoint.com/personal/morton_kim_dol_gov/Documents/NC%20and%20SC%20State%20Plan/FAMe%20FY%2021/SC%20FAME/SC%20FY%2021%20Comprehensive%20FAME%20Report%20Template%20(508-Compliant)%203-5-22.docx" TargetMode="External"/><Relationship Id="rId19" Type="http://schemas.openxmlformats.org/officeDocument/2006/relationships/hyperlink" Target="https://usdol-my.sharepoint.com/personal/morton_kim_dol_gov/Documents/NC%20and%20SC%20State%20Plan/FAMe%20FY%2021/SC%20FAME/SC%20FY%2021%20Comprehensive%20FAME%20Report%20Template%20(508-Compliant)%203-5-22.docx"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usdol-my.sharepoint.com/personal/morton_kim_dol_gov/Documents/NC%20and%20SC%20State%20Plan/FAMe%20FY%2021/SC%20FAME/SC%20FY%2021%20Comprehensive%20FAME%20Report%20Template%20(508-Compliant)%203-5-22.docx" TargetMode="External"/><Relationship Id="rId14" Type="http://schemas.openxmlformats.org/officeDocument/2006/relationships/hyperlink" Target="https://usdol-my.sharepoint.com/personal/morton_kim_dol_gov/Documents/NC%20and%20SC%20State%20Plan/FAMe%20FY%2021/SC%20FAME/SC%20FY%2021%20Comprehensive%20FAME%20Report%20Template%20(508-Compliant)%203-5-22.docx" TargetMode="External"/><Relationship Id="rId22" Type="http://schemas.openxmlformats.org/officeDocument/2006/relationships/hyperlink" Target="https://usdol-my.sharepoint.com/personal/morton_kim_dol_gov/Documents/NC%20and%20SC%20State%20Plan/FAMe%20FY%2021/SC%20FAME/SC%20FY%2021%20Comprehensive%20FAME%20Report%20Template%20(508-Compliant)%203-5-22.docx" TargetMode="External"/><Relationship Id="rId27" Type="http://schemas.openxmlformats.org/officeDocument/2006/relationships/header" Target="header1.xml"/><Relationship Id="rId30" Type="http://schemas.openxmlformats.org/officeDocument/2006/relationships/footer" Target="footer4.xml"/><Relationship Id="rId35"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10148</Words>
  <Characters>57849</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2024-06-07T20:31:00Z</dcterms:created>
  <dcterms:modified xsi:type="dcterms:W3CDTF">2024-06-14T19:01:00Z</dcterms:modified>
</cp:coreProperties>
</file>